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2"/>
        <w:tblW w:w="930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027"/>
        <w:gridCol w:w="5558"/>
        <w:gridCol w:w="1716"/>
      </w:tblGrid>
      <w:tr w14:paraId="7D0730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027" w:type="dxa"/>
          </w:tcPr>
          <w:p w14:paraId="2EDCFF36">
            <w:pPr>
              <w:spacing w:after="0" w:line="240" w:lineRule="auto"/>
              <w:jc w:val="both"/>
              <w:rPr>
                <w:rFonts w:ascii="Garamond" w:hAnsi="Garamond" w:cs="Arial Narrow"/>
                <w:b/>
                <w:kern w:val="2"/>
                <w:sz w:val="24"/>
                <w:szCs w:val="24"/>
                <w14:ligatures w14:val="standardContextual"/>
              </w:rPr>
            </w:pPr>
            <w:r>
              <w:rPr>
                <w:rFonts w:ascii="Garamond" w:hAnsi="Garamond" w:cs="Arial Narrow"/>
                <w:kern w:val="2"/>
                <w:sz w:val="24"/>
                <w:szCs w:val="24"/>
                <w14:ligatures w14:val="standardContextual"/>
              </w:rPr>
              <w:drawing>
                <wp:inline distT="0" distB="0" distL="0" distR="0">
                  <wp:extent cx="1104900" cy="729615"/>
                  <wp:effectExtent l="0" t="0" r="0" b="13335"/>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7"/>
                          <a:stretch>
                            <a:fillRect/>
                          </a:stretch>
                        </pic:blipFill>
                        <pic:spPr>
                          <a:xfrm>
                            <a:off x="0" y="0"/>
                            <a:ext cx="1117517" cy="738321"/>
                          </a:xfrm>
                          <a:prstGeom prst="rect">
                            <a:avLst/>
                          </a:prstGeom>
                        </pic:spPr>
                      </pic:pic>
                    </a:graphicData>
                  </a:graphic>
                </wp:inline>
              </w:drawing>
            </w:r>
          </w:p>
        </w:tc>
        <w:tc>
          <w:tcPr>
            <w:tcW w:w="5586" w:type="dxa"/>
          </w:tcPr>
          <w:p w14:paraId="27A25136">
            <w:pPr>
              <w:spacing w:after="0" w:line="240" w:lineRule="auto"/>
              <w:jc w:val="both"/>
              <w:rPr>
                <w:rFonts w:ascii="Garamond" w:hAnsi="Garamond" w:cs="Arial Narrow"/>
                <w:b/>
                <w:kern w:val="2"/>
                <w:sz w:val="24"/>
                <w:szCs w:val="24"/>
                <w14:ligatures w14:val="standardContextual"/>
              </w:rPr>
            </w:pPr>
            <w:r>
              <w:rPr>
                <w:rFonts w:ascii="Garamond" w:hAnsi="Garamond" w:cs="Arial Narrow"/>
                <w:b/>
                <w:bCs/>
                <w:kern w:val="2"/>
                <w:sz w:val="24"/>
                <w:szCs w:val="24"/>
                <w14:ligatures w14:val="standardContextual"/>
              </w:rPr>
              <w:drawing>
                <wp:anchor distT="0" distB="0" distL="114300" distR="114300" simplePos="0" relativeHeight="251659264" behindDoc="0" locked="0" layoutInCell="1" allowOverlap="1">
                  <wp:simplePos x="0" y="0"/>
                  <wp:positionH relativeFrom="margin">
                    <wp:posOffset>-5715</wp:posOffset>
                  </wp:positionH>
                  <wp:positionV relativeFrom="paragraph">
                    <wp:posOffset>24765</wp:posOffset>
                  </wp:positionV>
                  <wp:extent cx="3403600" cy="695960"/>
                  <wp:effectExtent l="0" t="0" r="6350" b="889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403600" cy="695960"/>
                          </a:xfrm>
                          <a:prstGeom prst="rect">
                            <a:avLst/>
                          </a:prstGeom>
                        </pic:spPr>
                      </pic:pic>
                    </a:graphicData>
                  </a:graphic>
                </wp:anchor>
              </w:drawing>
            </w:r>
          </w:p>
        </w:tc>
        <w:tc>
          <w:tcPr>
            <w:tcW w:w="1688" w:type="dxa"/>
          </w:tcPr>
          <w:p w14:paraId="708EFDB4">
            <w:pPr>
              <w:spacing w:after="0" w:line="240" w:lineRule="auto"/>
              <w:jc w:val="both"/>
              <w:rPr>
                <w:rFonts w:ascii="Garamond" w:hAnsi="Garamond" w:cs="Arial Narrow"/>
                <w:b/>
                <w:kern w:val="2"/>
                <w:sz w:val="24"/>
                <w:szCs w:val="24"/>
                <w14:ligatures w14:val="standardContextual"/>
              </w:rPr>
            </w:pPr>
            <w:r>
              <w:rPr>
                <w:rFonts w:ascii="Garamond" w:hAnsi="Garamond" w:cs="Arial Narrow"/>
                <w:kern w:val="2"/>
                <w:sz w:val="24"/>
                <w:szCs w:val="24"/>
                <w14:ligatures w14:val="standardContextual"/>
              </w:rPr>
              <w:drawing>
                <wp:inline distT="0" distB="0" distL="0" distR="0">
                  <wp:extent cx="934720" cy="832485"/>
                  <wp:effectExtent l="0" t="0" r="1778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9"/>
                          <a:stretch>
                            <a:fillRect/>
                          </a:stretch>
                        </pic:blipFill>
                        <pic:spPr>
                          <a:xfrm>
                            <a:off x="0" y="0"/>
                            <a:ext cx="1005744" cy="895771"/>
                          </a:xfrm>
                          <a:prstGeom prst="rect">
                            <a:avLst/>
                          </a:prstGeom>
                        </pic:spPr>
                      </pic:pic>
                    </a:graphicData>
                  </a:graphic>
                </wp:inline>
              </w:drawing>
            </w:r>
          </w:p>
        </w:tc>
      </w:tr>
    </w:tbl>
    <w:p w14:paraId="48875078">
      <w:pPr>
        <w:tabs>
          <w:tab w:val="left" w:pos="1560"/>
        </w:tabs>
        <w:spacing w:after="0" w:line="240" w:lineRule="auto"/>
        <w:rPr>
          <w:rFonts w:ascii="Garamond" w:hAnsi="Garamond" w:cs="Arial Narrow"/>
          <w:b/>
        </w:rPr>
      </w:pPr>
      <w:r>
        <w:rPr>
          <w:rFonts w:ascii="Garamond" w:hAnsi="Garamond" w:cs="Arial Narrow"/>
          <w:b/>
        </w:rPr>
        <w:t xml:space="preserve">                                        </w:t>
      </w:r>
    </w:p>
    <w:p w14:paraId="28C8DE49">
      <w:pPr>
        <w:spacing w:after="0" w:line="240" w:lineRule="auto"/>
        <w:jc w:val="center"/>
        <w:rPr>
          <w:rFonts w:ascii="Garamond" w:hAnsi="Garamond"/>
          <w:b/>
          <w:bCs/>
          <w:color w:val="0070C0"/>
          <w:sz w:val="40"/>
          <w:szCs w:val="24"/>
        </w:rPr>
      </w:pPr>
      <w:r>
        <w:rPr>
          <w:rFonts w:ascii="Garamond" w:hAnsi="Garamond"/>
          <w:b/>
          <w:bCs/>
          <w:color w:val="0070C0"/>
          <w:sz w:val="40"/>
          <w:szCs w:val="24"/>
        </w:rPr>
        <w:t>FACILITATE CITY &amp; URBAN COUNCIL LEVEL ROUND TABLE DIALOGUES TO ENSURE GRF COMMITMENTS BENEFIT URBAN REFUGEES &amp; HOST COMMUNITIES</w:t>
      </w:r>
    </w:p>
    <w:p w14:paraId="141B001B">
      <w:pPr>
        <w:spacing w:after="0" w:line="240" w:lineRule="auto"/>
        <w:jc w:val="center"/>
        <w:rPr>
          <w:rFonts w:ascii="Garamond" w:hAnsi="Garamond"/>
          <w:b/>
          <w:bCs/>
          <w:sz w:val="28"/>
          <w:szCs w:val="24"/>
        </w:rPr>
      </w:pPr>
    </w:p>
    <w:p w14:paraId="2E12B406">
      <w:pPr>
        <w:spacing w:after="0" w:line="240" w:lineRule="auto"/>
        <w:jc w:val="center"/>
        <w:rPr>
          <w:rFonts w:ascii="Garamond" w:hAnsi="Garamond"/>
          <w:sz w:val="32"/>
          <w:szCs w:val="24"/>
        </w:rPr>
      </w:pPr>
      <w:r>
        <w:rPr>
          <w:rFonts w:ascii="Garamond" w:hAnsi="Garamond"/>
          <w:sz w:val="32"/>
          <w:szCs w:val="24"/>
        </w:rPr>
        <w:t>Training Report</w:t>
      </w:r>
    </w:p>
    <w:p w14:paraId="19657705">
      <w:pPr>
        <w:spacing w:after="0" w:line="240" w:lineRule="auto"/>
        <w:rPr>
          <w:rFonts w:ascii="Garamond" w:hAnsi="Garamond"/>
          <w:sz w:val="28"/>
          <w:szCs w:val="24"/>
        </w:rPr>
      </w:pPr>
    </w:p>
    <w:p w14:paraId="327879FB">
      <w:pPr>
        <w:spacing w:after="0" w:line="240" w:lineRule="auto"/>
        <w:jc w:val="center"/>
        <w:rPr>
          <w:rFonts w:ascii="Garamond" w:hAnsi="Garamond"/>
          <w:b/>
          <w:bCs/>
          <w:sz w:val="28"/>
          <w:szCs w:val="24"/>
          <w:lang w:val="en-GB"/>
        </w:rPr>
      </w:pPr>
      <w:r>
        <w:rPr>
          <w:rFonts w:ascii="Garamond" w:hAnsi="Garamond"/>
          <w:b/>
          <w:bCs/>
          <w:sz w:val="28"/>
          <w:szCs w:val="24"/>
        </w:rPr>
        <w:t>Date: 8</w:t>
      </w:r>
      <w:r>
        <w:rPr>
          <w:rFonts w:ascii="Garamond" w:hAnsi="Garamond"/>
          <w:b/>
          <w:bCs/>
          <w:sz w:val="28"/>
          <w:szCs w:val="24"/>
          <w:vertAlign w:val="superscript"/>
        </w:rPr>
        <w:t>th</w:t>
      </w:r>
      <w:r>
        <w:rPr>
          <w:rFonts w:ascii="Garamond" w:hAnsi="Garamond"/>
          <w:b/>
          <w:bCs/>
          <w:sz w:val="28"/>
          <w:szCs w:val="24"/>
        </w:rPr>
        <w:t xml:space="preserve"> May 2024</w:t>
      </w:r>
    </w:p>
    <w:p w14:paraId="08570909">
      <w:pPr>
        <w:spacing w:after="0" w:line="240" w:lineRule="auto"/>
        <w:jc w:val="center"/>
        <w:rPr>
          <w:rFonts w:ascii="Garamond" w:hAnsi="Garamond"/>
          <w:b/>
          <w:bCs/>
          <w:sz w:val="28"/>
          <w:szCs w:val="24"/>
        </w:rPr>
      </w:pPr>
    </w:p>
    <w:p w14:paraId="448242A7">
      <w:pPr>
        <w:spacing w:after="0" w:line="240" w:lineRule="auto"/>
        <w:jc w:val="center"/>
        <w:rPr>
          <w:rFonts w:ascii="Garamond" w:hAnsi="Garamond"/>
          <w:b/>
          <w:sz w:val="24"/>
          <w:szCs w:val="24"/>
        </w:rPr>
      </w:pPr>
      <w:r>
        <w:rPr>
          <w:rFonts w:ascii="Garamond" w:hAnsi="Garamond"/>
          <w:b/>
          <w:bCs/>
          <w:sz w:val="28"/>
          <w:szCs w:val="24"/>
        </w:rPr>
        <w:t>Pope Paul Memorial Hotel</w:t>
      </w:r>
      <w:r>
        <w:rPr>
          <w:rFonts w:ascii="Garamond" w:hAnsi="Garamond"/>
          <w:sz w:val="24"/>
          <w:szCs w:val="24"/>
        </w:rPr>
        <mc:AlternateContent>
          <mc:Choice Requires="wps">
            <w:drawing>
              <wp:anchor distT="0" distB="0" distL="114300" distR="114300" simplePos="0" relativeHeight="251660288" behindDoc="0" locked="0" layoutInCell="1" allowOverlap="1">
                <wp:simplePos x="0" y="0"/>
                <wp:positionH relativeFrom="column">
                  <wp:posOffset>-1246505</wp:posOffset>
                </wp:positionH>
                <wp:positionV relativeFrom="paragraph">
                  <wp:posOffset>201930</wp:posOffset>
                </wp:positionV>
                <wp:extent cx="7595870" cy="0"/>
                <wp:effectExtent l="0" t="0" r="24130" b="19050"/>
                <wp:wrapNone/>
                <wp:docPr id="1" name="Straight Connector 1"/>
                <wp:cNvGraphicFramePr/>
                <a:graphic xmlns:a="http://schemas.openxmlformats.org/drawingml/2006/main">
                  <a:graphicData uri="http://schemas.microsoft.com/office/word/2010/wordprocessingShape">
                    <wps:wsp>
                      <wps:cNvCnPr/>
                      <wps:spPr>
                        <a:xfrm>
                          <a:off x="0" y="0"/>
                          <a:ext cx="7596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98.15pt;margin-top:15.9pt;height:0pt;width:598.1pt;z-index:251660288;mso-width-relative:page;mso-height-relative:page;" filled="f" stroked="t" coordsize="21600,21600" o:gfxdata="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tU19ANYAAAAKAQAADwAA&#10;AAAAAAABACAAAAAiAAAAZHJzL2Rvd25yZXYueG1sUEsBAhQAFAAAAAgAh07iQBoJRmPfAQAA1gMA&#10;AA4AAAAAAAAAAQAgAAAAJQEAAGRycy9lMm9Eb2MueG1sUEsFBgAAAAAGAAYAWQEAAHYFAAAAAA==&#10;">
                <v:fill on="f" focussize="0,0"/>
                <v:stroke color="#000000 [3200]" joinstyle="round"/>
                <v:imagedata o:title=""/>
                <o:lock v:ext="edit" aspectratio="f"/>
              </v:line>
            </w:pict>
          </mc:Fallback>
        </mc:AlternateContent>
      </w:r>
    </w:p>
    <w:p w14:paraId="6F7637D9">
      <w:pPr>
        <w:spacing w:after="0" w:line="240" w:lineRule="auto"/>
        <w:jc w:val="center"/>
        <w:rPr>
          <w:rFonts w:ascii="Garamond" w:hAnsi="Garamond"/>
          <w:sz w:val="24"/>
          <w:szCs w:val="24"/>
        </w:rPr>
      </w:pPr>
      <w:r>
        <w:drawing>
          <wp:inline distT="0" distB="0" distL="0" distR="0">
            <wp:extent cx="5943600" cy="4458335"/>
            <wp:effectExtent l="0" t="0" r="0" b="0"/>
            <wp:docPr id="5" name="Picture 5" descr="C:\Users\Andrewlap\AppData\Local\Microsoft\Windows\INetCache\Content.Word\IMG_20240320_125913_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Andrewlap\AppData\Local\Microsoft\Windows\INetCache\Content.Word\IMG_20240320_125913_22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943600" cy="4458861"/>
                    </a:xfrm>
                    <a:prstGeom prst="rect">
                      <a:avLst/>
                    </a:prstGeom>
                    <a:noFill/>
                    <a:ln>
                      <a:noFill/>
                    </a:ln>
                  </pic:spPr>
                </pic:pic>
              </a:graphicData>
            </a:graphic>
          </wp:inline>
        </w:drawing>
      </w:r>
    </w:p>
    <w:p w14:paraId="05D99050">
      <w:pPr>
        <w:spacing w:after="200" w:line="276" w:lineRule="auto"/>
        <w:rPr>
          <w:rFonts w:ascii="Garamond" w:hAnsi="Garamond" w:eastAsiaTheme="majorEastAsia" w:cstheme="majorBidi"/>
          <w:b/>
          <w:bCs/>
          <w:color w:val="376092" w:themeColor="accent1" w:themeShade="BF"/>
          <w:sz w:val="28"/>
          <w:szCs w:val="28"/>
        </w:rPr>
      </w:pPr>
      <w:r>
        <w:rPr>
          <w:rFonts w:ascii="Garamond" w:hAnsi="Garamond"/>
        </w:rPr>
        <w:br w:type="page"/>
      </w:r>
    </w:p>
    <w:sdt>
      <w:sdtPr>
        <w:rPr>
          <w:rFonts w:asciiTheme="minorHAnsi" w:hAnsiTheme="minorHAnsi" w:eastAsiaTheme="minorHAnsi" w:cstheme="minorBidi"/>
          <w:b w:val="0"/>
          <w:bCs w:val="0"/>
          <w:color w:val="auto"/>
          <w:sz w:val="22"/>
          <w:szCs w:val="22"/>
          <w:lang w:eastAsia="en-US"/>
        </w:rPr>
        <w:id w:val="846061626"/>
        <w:docPartObj>
          <w:docPartGallery w:val="Table of Contents"/>
          <w:docPartUnique/>
        </w:docPartObj>
      </w:sdtPr>
      <w:sdtEndPr>
        <w:rPr>
          <w:rFonts w:asciiTheme="minorHAnsi" w:hAnsiTheme="minorHAnsi" w:eastAsiaTheme="minorHAnsi" w:cstheme="minorBidi"/>
          <w:b w:val="0"/>
          <w:bCs w:val="0"/>
          <w:color w:val="auto"/>
          <w:sz w:val="22"/>
          <w:szCs w:val="22"/>
          <w:lang w:eastAsia="en-US"/>
        </w:rPr>
      </w:sdtEndPr>
      <w:sdtContent>
        <w:p w14:paraId="68D3FED9">
          <w:pPr>
            <w:pStyle w:val="23"/>
          </w:pPr>
          <w:r>
            <w:t>Table of Contents</w:t>
          </w:r>
        </w:p>
        <w:p w14:paraId="1A361474">
          <w:pPr>
            <w:pStyle w:val="13"/>
            <w:tabs>
              <w:tab w:val="left" w:pos="660"/>
              <w:tab w:val="right" w:leader="dot" w:pos="9350"/>
            </w:tabs>
            <w:rPr>
              <w:rFonts w:eastAsiaTheme="minorEastAsia"/>
            </w:rPr>
          </w:pPr>
          <w:r>
            <w:fldChar w:fldCharType="begin"/>
          </w:r>
          <w:r>
            <w:instrText xml:space="preserve"> TOC \o "1-3" \h \z \u </w:instrText>
          </w:r>
          <w:r>
            <w:fldChar w:fldCharType="separate"/>
          </w:r>
          <w:r>
            <w:fldChar w:fldCharType="begin"/>
          </w:r>
          <w:r>
            <w:instrText xml:space="preserve"> HYPERLINK \l "_Toc170812602" </w:instrText>
          </w:r>
          <w:r>
            <w:fldChar w:fldCharType="separate"/>
          </w:r>
          <w:r>
            <w:rPr>
              <w:rStyle w:val="10"/>
            </w:rPr>
            <w:t>1.0.</w:t>
          </w:r>
          <w:r>
            <w:rPr>
              <w:rFonts w:eastAsiaTheme="minorEastAsia"/>
            </w:rPr>
            <w:tab/>
          </w:r>
          <w:r>
            <w:rPr>
              <w:rStyle w:val="10"/>
            </w:rPr>
            <w:t>Introduction</w:t>
          </w:r>
          <w:r>
            <w:tab/>
          </w:r>
          <w:r>
            <w:fldChar w:fldCharType="begin"/>
          </w:r>
          <w:r>
            <w:instrText xml:space="preserve"> PAGEREF _Toc170812602 \h </w:instrText>
          </w:r>
          <w:r>
            <w:fldChar w:fldCharType="separate"/>
          </w:r>
          <w:r>
            <w:t>3</w:t>
          </w:r>
          <w:r>
            <w:fldChar w:fldCharType="end"/>
          </w:r>
          <w:r>
            <w:fldChar w:fldCharType="end"/>
          </w:r>
        </w:p>
        <w:p w14:paraId="71DCB097">
          <w:pPr>
            <w:pStyle w:val="13"/>
            <w:tabs>
              <w:tab w:val="left" w:pos="660"/>
              <w:tab w:val="right" w:leader="dot" w:pos="9350"/>
            </w:tabs>
            <w:rPr>
              <w:rFonts w:eastAsiaTheme="minorEastAsia"/>
            </w:rPr>
          </w:pPr>
          <w:r>
            <w:fldChar w:fldCharType="begin"/>
          </w:r>
          <w:r>
            <w:instrText xml:space="preserve"> HYPERLINK \l "_Toc170812603" </w:instrText>
          </w:r>
          <w:r>
            <w:fldChar w:fldCharType="separate"/>
          </w:r>
          <w:r>
            <w:rPr>
              <w:rStyle w:val="10"/>
              <w:lang w:val="en-GB"/>
            </w:rPr>
            <w:t>2.0.</w:t>
          </w:r>
          <w:r>
            <w:rPr>
              <w:rFonts w:eastAsiaTheme="minorEastAsia"/>
            </w:rPr>
            <w:tab/>
          </w:r>
          <w:r>
            <w:rPr>
              <w:rStyle w:val="10"/>
              <w:lang w:val="en-GB"/>
            </w:rPr>
            <w:t>The Dialogue</w:t>
          </w:r>
          <w:r>
            <w:tab/>
          </w:r>
          <w:r>
            <w:fldChar w:fldCharType="begin"/>
          </w:r>
          <w:r>
            <w:instrText xml:space="preserve"> PAGEREF _Toc170812603 \h </w:instrText>
          </w:r>
          <w:r>
            <w:fldChar w:fldCharType="separate"/>
          </w:r>
          <w:r>
            <w:t>3</w:t>
          </w:r>
          <w:r>
            <w:fldChar w:fldCharType="end"/>
          </w:r>
          <w:r>
            <w:fldChar w:fldCharType="end"/>
          </w:r>
        </w:p>
        <w:p w14:paraId="0DE44F2E">
          <w:pPr>
            <w:pStyle w:val="14"/>
            <w:tabs>
              <w:tab w:val="left" w:pos="880"/>
              <w:tab w:val="right" w:leader="dot" w:pos="9350"/>
            </w:tabs>
            <w:rPr>
              <w:rFonts w:eastAsiaTheme="minorEastAsia"/>
            </w:rPr>
          </w:pPr>
          <w:r>
            <w:fldChar w:fldCharType="begin"/>
          </w:r>
          <w:r>
            <w:instrText xml:space="preserve"> HYPERLINK \l "_Toc170812604" </w:instrText>
          </w:r>
          <w:r>
            <w:fldChar w:fldCharType="separate"/>
          </w:r>
          <w:r>
            <w:rPr>
              <w:rStyle w:val="10"/>
            </w:rPr>
            <w:t>2.1.</w:t>
          </w:r>
          <w:r>
            <w:rPr>
              <w:rFonts w:eastAsiaTheme="minorEastAsia"/>
            </w:rPr>
            <w:tab/>
          </w:r>
          <w:r>
            <w:rPr>
              <w:rStyle w:val="10"/>
            </w:rPr>
            <w:t>Objectives of the Dialogue</w:t>
          </w:r>
          <w:r>
            <w:tab/>
          </w:r>
          <w:r>
            <w:fldChar w:fldCharType="begin"/>
          </w:r>
          <w:r>
            <w:instrText xml:space="preserve"> PAGEREF _Toc170812604 \h </w:instrText>
          </w:r>
          <w:r>
            <w:fldChar w:fldCharType="separate"/>
          </w:r>
          <w:r>
            <w:t>3</w:t>
          </w:r>
          <w:r>
            <w:fldChar w:fldCharType="end"/>
          </w:r>
          <w:r>
            <w:fldChar w:fldCharType="end"/>
          </w:r>
        </w:p>
        <w:p w14:paraId="4C7A1EF0">
          <w:pPr>
            <w:pStyle w:val="14"/>
            <w:tabs>
              <w:tab w:val="left" w:pos="880"/>
              <w:tab w:val="right" w:leader="dot" w:pos="9350"/>
            </w:tabs>
            <w:rPr>
              <w:rFonts w:eastAsiaTheme="minorEastAsia"/>
            </w:rPr>
          </w:pPr>
          <w:r>
            <w:fldChar w:fldCharType="begin"/>
          </w:r>
          <w:r>
            <w:instrText xml:space="preserve"> HYPERLINK \l "_Toc170812605" </w:instrText>
          </w:r>
          <w:r>
            <w:fldChar w:fldCharType="separate"/>
          </w:r>
          <w:r>
            <w:rPr>
              <w:rStyle w:val="10"/>
            </w:rPr>
            <w:t>2.2.</w:t>
          </w:r>
          <w:r>
            <w:rPr>
              <w:rFonts w:eastAsiaTheme="minorEastAsia"/>
            </w:rPr>
            <w:tab/>
          </w:r>
          <w:r>
            <w:rPr>
              <w:rStyle w:val="10"/>
            </w:rPr>
            <w:t>Methodology</w:t>
          </w:r>
          <w:r>
            <w:tab/>
          </w:r>
          <w:r>
            <w:fldChar w:fldCharType="begin"/>
          </w:r>
          <w:r>
            <w:instrText xml:space="preserve"> PAGEREF _Toc170812605 \h </w:instrText>
          </w:r>
          <w:r>
            <w:fldChar w:fldCharType="separate"/>
          </w:r>
          <w:r>
            <w:t>4</w:t>
          </w:r>
          <w:r>
            <w:fldChar w:fldCharType="end"/>
          </w:r>
          <w:r>
            <w:fldChar w:fldCharType="end"/>
          </w:r>
        </w:p>
        <w:p w14:paraId="048AF538">
          <w:pPr>
            <w:pStyle w:val="14"/>
            <w:tabs>
              <w:tab w:val="left" w:pos="880"/>
              <w:tab w:val="right" w:leader="dot" w:pos="9350"/>
            </w:tabs>
            <w:rPr>
              <w:rFonts w:eastAsiaTheme="minorEastAsia"/>
            </w:rPr>
          </w:pPr>
          <w:r>
            <w:fldChar w:fldCharType="begin"/>
          </w:r>
          <w:r>
            <w:instrText xml:space="preserve"> HYPERLINK \l "_Toc170812606" </w:instrText>
          </w:r>
          <w:r>
            <w:fldChar w:fldCharType="separate"/>
          </w:r>
          <w:r>
            <w:rPr>
              <w:rStyle w:val="10"/>
            </w:rPr>
            <w:t>2.3.</w:t>
          </w:r>
          <w:r>
            <w:rPr>
              <w:rFonts w:eastAsiaTheme="minorEastAsia"/>
            </w:rPr>
            <w:tab/>
          </w:r>
          <w:r>
            <w:rPr>
              <w:rStyle w:val="10"/>
              <w:shd w:val="clear" w:color="auto" w:fill="FFFFFF"/>
            </w:rPr>
            <w:t>Participants of the Dialogue</w:t>
          </w:r>
          <w:r>
            <w:tab/>
          </w:r>
          <w:r>
            <w:fldChar w:fldCharType="begin"/>
          </w:r>
          <w:r>
            <w:instrText xml:space="preserve"> PAGEREF _Toc170812606 \h </w:instrText>
          </w:r>
          <w:r>
            <w:fldChar w:fldCharType="separate"/>
          </w:r>
          <w:r>
            <w:t>4</w:t>
          </w:r>
          <w:r>
            <w:fldChar w:fldCharType="end"/>
          </w:r>
          <w:r>
            <w:fldChar w:fldCharType="end"/>
          </w:r>
        </w:p>
        <w:p w14:paraId="43BE7192">
          <w:pPr>
            <w:pStyle w:val="13"/>
            <w:tabs>
              <w:tab w:val="left" w:pos="660"/>
              <w:tab w:val="right" w:leader="dot" w:pos="9350"/>
            </w:tabs>
            <w:rPr>
              <w:rFonts w:eastAsiaTheme="minorEastAsia"/>
            </w:rPr>
          </w:pPr>
          <w:r>
            <w:fldChar w:fldCharType="begin"/>
          </w:r>
          <w:r>
            <w:instrText xml:space="preserve"> HYPERLINK \l "_Toc170812607" </w:instrText>
          </w:r>
          <w:r>
            <w:fldChar w:fldCharType="separate"/>
          </w:r>
          <w:r>
            <w:rPr>
              <w:rStyle w:val="10"/>
            </w:rPr>
            <w:t>3.0.</w:t>
          </w:r>
          <w:r>
            <w:rPr>
              <w:rFonts w:eastAsiaTheme="minorEastAsia"/>
            </w:rPr>
            <w:tab/>
          </w:r>
          <w:r>
            <w:rPr>
              <w:rStyle w:val="10"/>
            </w:rPr>
            <w:t>Opening Session</w:t>
          </w:r>
          <w:r>
            <w:tab/>
          </w:r>
          <w:r>
            <w:fldChar w:fldCharType="begin"/>
          </w:r>
          <w:r>
            <w:instrText xml:space="preserve"> PAGEREF _Toc170812607 \h </w:instrText>
          </w:r>
          <w:r>
            <w:fldChar w:fldCharType="separate"/>
          </w:r>
          <w:r>
            <w:t>4</w:t>
          </w:r>
          <w:r>
            <w:fldChar w:fldCharType="end"/>
          </w:r>
          <w:r>
            <w:fldChar w:fldCharType="end"/>
          </w:r>
        </w:p>
        <w:p w14:paraId="693B18A7">
          <w:pPr>
            <w:pStyle w:val="13"/>
            <w:tabs>
              <w:tab w:val="left" w:pos="660"/>
              <w:tab w:val="right" w:leader="dot" w:pos="9350"/>
            </w:tabs>
            <w:rPr>
              <w:rFonts w:eastAsiaTheme="minorEastAsia"/>
            </w:rPr>
          </w:pPr>
          <w:r>
            <w:fldChar w:fldCharType="begin"/>
          </w:r>
          <w:r>
            <w:instrText xml:space="preserve"> HYPERLINK \l "_Toc170812608" </w:instrText>
          </w:r>
          <w:r>
            <w:fldChar w:fldCharType="separate"/>
          </w:r>
          <w:r>
            <w:rPr>
              <w:rStyle w:val="10"/>
              <w:rFonts w:ascii="Garamond" w:hAnsi="Garamond"/>
            </w:rPr>
            <w:t>4.0.</w:t>
          </w:r>
          <w:r>
            <w:rPr>
              <w:rFonts w:eastAsiaTheme="minorEastAsia"/>
            </w:rPr>
            <w:tab/>
          </w:r>
          <w:r>
            <w:rPr>
              <w:rStyle w:val="10"/>
            </w:rPr>
            <w:t>Session 1: Plenary Discussion on City Pledges</w:t>
          </w:r>
          <w:r>
            <w:tab/>
          </w:r>
          <w:r>
            <w:fldChar w:fldCharType="begin"/>
          </w:r>
          <w:r>
            <w:instrText xml:space="preserve"> PAGEREF _Toc170812608 \h </w:instrText>
          </w:r>
          <w:r>
            <w:fldChar w:fldCharType="separate"/>
          </w:r>
          <w:r>
            <w:t>4</w:t>
          </w:r>
          <w:r>
            <w:fldChar w:fldCharType="end"/>
          </w:r>
          <w:r>
            <w:fldChar w:fldCharType="end"/>
          </w:r>
        </w:p>
        <w:p w14:paraId="407DC169">
          <w:pPr>
            <w:pStyle w:val="13"/>
            <w:tabs>
              <w:tab w:val="left" w:pos="660"/>
              <w:tab w:val="right" w:leader="dot" w:pos="9350"/>
            </w:tabs>
            <w:rPr>
              <w:rFonts w:eastAsiaTheme="minorEastAsia"/>
            </w:rPr>
          </w:pPr>
          <w:r>
            <w:fldChar w:fldCharType="begin"/>
          </w:r>
          <w:r>
            <w:instrText xml:space="preserve"> HYPERLINK \l "_Toc170812609" </w:instrText>
          </w:r>
          <w:r>
            <w:fldChar w:fldCharType="separate"/>
          </w:r>
          <w:r>
            <w:rPr>
              <w:rStyle w:val="10"/>
            </w:rPr>
            <w:t>5.0.</w:t>
          </w:r>
          <w:r>
            <w:rPr>
              <w:rFonts w:eastAsiaTheme="minorEastAsia"/>
            </w:rPr>
            <w:tab/>
          </w:r>
          <w:r>
            <w:rPr>
              <w:rStyle w:val="10"/>
            </w:rPr>
            <w:t>Session 2: Breakout Sessions</w:t>
          </w:r>
          <w:r>
            <w:tab/>
          </w:r>
          <w:r>
            <w:fldChar w:fldCharType="begin"/>
          </w:r>
          <w:r>
            <w:instrText xml:space="preserve"> PAGEREF _Toc170812609 \h </w:instrText>
          </w:r>
          <w:r>
            <w:fldChar w:fldCharType="separate"/>
          </w:r>
          <w:r>
            <w:t>5</w:t>
          </w:r>
          <w:r>
            <w:fldChar w:fldCharType="end"/>
          </w:r>
          <w:r>
            <w:fldChar w:fldCharType="end"/>
          </w:r>
        </w:p>
        <w:p w14:paraId="2715BAC0">
          <w:pPr>
            <w:pStyle w:val="13"/>
            <w:tabs>
              <w:tab w:val="left" w:pos="660"/>
              <w:tab w:val="right" w:leader="dot" w:pos="9350"/>
            </w:tabs>
            <w:rPr>
              <w:rFonts w:eastAsiaTheme="minorEastAsia"/>
            </w:rPr>
          </w:pPr>
          <w:r>
            <w:fldChar w:fldCharType="begin"/>
          </w:r>
          <w:r>
            <w:instrText xml:space="preserve"> HYPERLINK \l "_Toc170812610" </w:instrText>
          </w:r>
          <w:r>
            <w:fldChar w:fldCharType="separate"/>
          </w:r>
          <w:r>
            <w:rPr>
              <w:rStyle w:val="10"/>
              <w:rFonts w:ascii="Garamond" w:hAnsi="Garamond"/>
              <w:lang w:val="en-GB"/>
            </w:rPr>
            <w:t>6.0.</w:t>
          </w:r>
          <w:r>
            <w:rPr>
              <w:rFonts w:eastAsiaTheme="minorEastAsia"/>
            </w:rPr>
            <w:tab/>
          </w:r>
          <w:r>
            <w:rPr>
              <w:rStyle w:val="10"/>
            </w:rPr>
            <w:t>Session 3: Plenary Session and Wrap-Up</w:t>
          </w:r>
          <w:r>
            <w:tab/>
          </w:r>
          <w:r>
            <w:fldChar w:fldCharType="begin"/>
          </w:r>
          <w:r>
            <w:instrText xml:space="preserve"> PAGEREF _Toc170812610 \h </w:instrText>
          </w:r>
          <w:r>
            <w:fldChar w:fldCharType="separate"/>
          </w:r>
          <w:r>
            <w:t>6</w:t>
          </w:r>
          <w:r>
            <w:fldChar w:fldCharType="end"/>
          </w:r>
          <w:r>
            <w:fldChar w:fldCharType="end"/>
          </w:r>
        </w:p>
        <w:p w14:paraId="1E6A87AD">
          <w:pPr>
            <w:pStyle w:val="13"/>
            <w:tabs>
              <w:tab w:val="right" w:leader="dot" w:pos="9350"/>
            </w:tabs>
            <w:rPr>
              <w:rFonts w:eastAsiaTheme="minorEastAsia"/>
            </w:rPr>
          </w:pPr>
          <w:r>
            <w:fldChar w:fldCharType="begin"/>
          </w:r>
          <w:r>
            <w:instrText xml:space="preserve"> HYPERLINK \l "_Toc170812611" </w:instrText>
          </w:r>
          <w:r>
            <w:fldChar w:fldCharType="separate"/>
          </w:r>
          <w:r>
            <w:rPr>
              <w:rStyle w:val="10"/>
            </w:rPr>
            <w:t>Attendance list</w:t>
          </w:r>
          <w:r>
            <w:tab/>
          </w:r>
          <w:r>
            <w:fldChar w:fldCharType="begin"/>
          </w:r>
          <w:r>
            <w:instrText xml:space="preserve"> PAGEREF _Toc170812611 \h </w:instrText>
          </w:r>
          <w:r>
            <w:fldChar w:fldCharType="separate"/>
          </w:r>
          <w:r>
            <w:t>8</w:t>
          </w:r>
          <w:r>
            <w:fldChar w:fldCharType="end"/>
          </w:r>
          <w:r>
            <w:fldChar w:fldCharType="end"/>
          </w:r>
        </w:p>
        <w:p w14:paraId="7F523EF1">
          <w:r>
            <w:rPr>
              <w:b/>
              <w:bCs/>
            </w:rPr>
            <w:fldChar w:fldCharType="end"/>
          </w:r>
        </w:p>
      </w:sdtContent>
    </w:sdt>
    <w:p w14:paraId="3D786233">
      <w:pPr>
        <w:spacing w:after="200" w:line="276" w:lineRule="auto"/>
        <w:rPr>
          <w:rFonts w:ascii="Garamond" w:hAnsi="Garamond" w:eastAsiaTheme="majorEastAsia" w:cstheme="majorBidi"/>
          <w:b/>
          <w:bCs/>
          <w:color w:val="376092" w:themeColor="accent1" w:themeShade="BF"/>
          <w:sz w:val="28"/>
          <w:szCs w:val="28"/>
        </w:rPr>
      </w:pPr>
      <w:r>
        <w:rPr>
          <w:rFonts w:ascii="Garamond" w:hAnsi="Garamond"/>
        </w:rPr>
        <w:br w:type="page"/>
      </w:r>
    </w:p>
    <w:p w14:paraId="394BE7E9">
      <w:pPr>
        <w:pStyle w:val="2"/>
        <w:numPr>
          <w:ilvl w:val="0"/>
          <w:numId w:val="1"/>
        </w:numPr>
      </w:pPr>
      <w:bookmarkStart w:id="0" w:name="_Toc170812602"/>
      <w:r>
        <w:t>Introduction</w:t>
      </w:r>
      <w:bookmarkEnd w:id="0"/>
    </w:p>
    <w:p w14:paraId="1701EC6F">
      <w:pPr>
        <w:spacing w:after="0" w:line="240" w:lineRule="auto"/>
        <w:rPr>
          <w:rFonts w:ascii="Garamond" w:hAnsi="Garamond"/>
        </w:rPr>
      </w:pPr>
    </w:p>
    <w:p w14:paraId="18FA7FC5">
      <w:pPr>
        <w:spacing w:after="0" w:line="240" w:lineRule="auto"/>
        <w:jc w:val="both"/>
        <w:rPr>
          <w:rFonts w:ascii="Garamond" w:hAnsi="Garamond"/>
          <w:sz w:val="24"/>
          <w:szCs w:val="24"/>
          <w:lang w:val="en-GB"/>
        </w:rPr>
      </w:pPr>
      <w:r>
        <w:rPr>
          <w:rFonts w:ascii="Garamond" w:hAnsi="Garamond"/>
          <w:sz w:val="24"/>
          <w:szCs w:val="24"/>
          <w:lang w:val="en-GB"/>
        </w:rPr>
        <w:t>Platform for Vendors in Uganda (PLAVU) is a National Federation of urban poor informal workers.  The organisation is part of several partners implementing an urban refugee development programme funded by IKEA Foundation.  The programme is Refugees in East Africa: Boosting Urban Innovations for Livelihoods Development (Re: Build).  PLAVU focuses on advocacy, promoting social cohesion among urban refugees and host communities; promotion of practices that contribute towards achieving self-reliance; and building linkages between hosts and refugees and business associations.  The programme is implemented in all the divisions of Kampala.</w:t>
      </w:r>
    </w:p>
    <w:p w14:paraId="30F2F587">
      <w:pPr>
        <w:spacing w:after="0" w:line="240" w:lineRule="auto"/>
        <w:rPr>
          <w:rFonts w:ascii="Garamond" w:hAnsi="Garamond"/>
          <w:sz w:val="24"/>
          <w:szCs w:val="24"/>
        </w:rPr>
      </w:pPr>
    </w:p>
    <w:p w14:paraId="01E72BB2">
      <w:pPr>
        <w:spacing w:after="0" w:line="240" w:lineRule="auto"/>
        <w:jc w:val="both"/>
        <w:rPr>
          <w:rFonts w:ascii="Garamond" w:hAnsi="Garamond"/>
          <w:sz w:val="24"/>
          <w:szCs w:val="24"/>
        </w:rPr>
      </w:pPr>
      <w:r>
        <w:rPr>
          <w:rFonts w:ascii="Garamond" w:hAnsi="Garamond"/>
          <w:sz w:val="24"/>
          <w:szCs w:val="24"/>
        </w:rPr>
        <w:t xml:space="preserve">According to UNHCR; August 2023, currently </w:t>
      </w:r>
      <w:r>
        <w:rPr>
          <w:rFonts w:ascii="Garamond" w:hAnsi="Garamond"/>
          <w:sz w:val="24"/>
          <w:szCs w:val="24"/>
          <w:lang w:val="en-GB"/>
        </w:rPr>
        <w:t>Uganda hosts 1,568,237 refugees and asylum seekers (807,857 females, 760,380 males).  Kampala city</w:t>
      </w:r>
      <w:r>
        <w:rPr>
          <w:rFonts w:ascii="Garamond" w:hAnsi="Garamond"/>
          <w:sz w:val="24"/>
          <w:szCs w:val="24"/>
        </w:rPr>
        <w:t xml:space="preserve"> alone is hosting 121,499 refugees and asylum seekers.  55,884 and 65,615 of these were females and males respectively.  This increase is due to </w:t>
      </w:r>
      <w:r>
        <w:rPr>
          <w:rFonts w:ascii="Garamond" w:hAnsi="Garamond"/>
          <w:sz w:val="24"/>
          <w:szCs w:val="24"/>
          <w:lang w:val="en-GB"/>
        </w:rPr>
        <w:t xml:space="preserve">fragile security </w:t>
      </w:r>
      <w:r>
        <w:rPr>
          <w:rFonts w:ascii="Garamond" w:hAnsi="Garamond"/>
          <w:sz w:val="24"/>
          <w:szCs w:val="24"/>
        </w:rPr>
        <w:t xml:space="preserve">situation </w:t>
      </w:r>
      <w:r>
        <w:rPr>
          <w:rFonts w:ascii="Garamond" w:hAnsi="Garamond"/>
          <w:sz w:val="24"/>
          <w:szCs w:val="24"/>
          <w:lang w:val="en-GB"/>
        </w:rPr>
        <w:t xml:space="preserve">and </w:t>
      </w:r>
      <w:r>
        <w:rPr>
          <w:rFonts w:ascii="Garamond" w:hAnsi="Garamond"/>
          <w:sz w:val="24"/>
          <w:szCs w:val="24"/>
        </w:rPr>
        <w:t>the</w:t>
      </w:r>
      <w:r>
        <w:rPr>
          <w:rFonts w:ascii="Garamond" w:hAnsi="Garamond"/>
          <w:sz w:val="24"/>
          <w:szCs w:val="24"/>
          <w:lang w:val="en-GB"/>
        </w:rPr>
        <w:t xml:space="preserve"> harsh climate conditions</w:t>
      </w:r>
      <w:r>
        <w:rPr>
          <w:rFonts w:ascii="Garamond" w:hAnsi="Garamond"/>
          <w:sz w:val="24"/>
          <w:szCs w:val="24"/>
        </w:rPr>
        <w:t xml:space="preserve"> in the region. </w:t>
      </w:r>
    </w:p>
    <w:p w14:paraId="18F4C459">
      <w:pPr>
        <w:spacing w:after="0" w:line="240" w:lineRule="auto"/>
        <w:jc w:val="both"/>
        <w:rPr>
          <w:rFonts w:ascii="Garamond" w:hAnsi="Garamond"/>
          <w:sz w:val="24"/>
          <w:szCs w:val="24"/>
          <w:lang w:val="en-GB"/>
        </w:rPr>
      </w:pPr>
      <w:r>
        <w:rPr>
          <w:rFonts w:ascii="Garamond" w:hAnsi="Garamond"/>
          <w:sz w:val="24"/>
          <w:szCs w:val="24"/>
        </w:rPr>
        <w:t xml:space="preserve">While in cities, most refugees are involved in the largest production informal sector for survival.  </w:t>
      </w:r>
      <w:r>
        <w:rPr>
          <w:rFonts w:ascii="Garamond" w:hAnsi="Garamond"/>
          <w:sz w:val="24"/>
          <w:szCs w:val="24"/>
          <w:lang w:val="en-GB"/>
        </w:rPr>
        <w:t>Urban refugees face multiple challenges including inadequate access to financial services, government development programmes and the partial social cohesion with host communities making it more challenging.</w:t>
      </w:r>
    </w:p>
    <w:p w14:paraId="25A7DD3B">
      <w:pPr>
        <w:spacing w:after="0" w:line="240" w:lineRule="auto"/>
        <w:jc w:val="both"/>
        <w:rPr>
          <w:rFonts w:ascii="Garamond" w:hAnsi="Garamond"/>
          <w:sz w:val="24"/>
          <w:szCs w:val="24"/>
          <w:lang w:val="en-GB"/>
        </w:rPr>
      </w:pPr>
    </w:p>
    <w:p w14:paraId="1D590859">
      <w:pPr>
        <w:pStyle w:val="2"/>
        <w:numPr>
          <w:ilvl w:val="0"/>
          <w:numId w:val="1"/>
        </w:numPr>
        <w:rPr>
          <w:lang w:val="en-GB"/>
        </w:rPr>
      </w:pPr>
      <w:bookmarkStart w:id="1" w:name="_Toc170812603"/>
      <w:r>
        <w:rPr>
          <w:lang w:val="en-GB"/>
        </w:rPr>
        <w:t>The Dialogue</w:t>
      </w:r>
      <w:bookmarkEnd w:id="1"/>
    </w:p>
    <w:p w14:paraId="00C89B91">
      <w:pPr>
        <w:widowControl w:val="0"/>
        <w:autoSpaceDE w:val="0"/>
        <w:autoSpaceDN w:val="0"/>
        <w:adjustRightInd w:val="0"/>
        <w:spacing w:after="0" w:line="240" w:lineRule="auto"/>
        <w:jc w:val="both"/>
        <w:rPr>
          <w:rFonts w:ascii="Garamond" w:hAnsi="Garamond" w:cstheme="majorHAnsi"/>
          <w:bCs/>
          <w:color w:val="000000"/>
          <w:sz w:val="24"/>
          <w:szCs w:val="24"/>
        </w:rPr>
      </w:pPr>
    </w:p>
    <w:p w14:paraId="7DEE5063">
      <w:pPr>
        <w:widowControl w:val="0"/>
        <w:autoSpaceDE w:val="0"/>
        <w:autoSpaceDN w:val="0"/>
        <w:adjustRightInd w:val="0"/>
        <w:spacing w:after="0" w:line="240" w:lineRule="auto"/>
        <w:jc w:val="both"/>
        <w:rPr>
          <w:rFonts w:ascii="Garamond" w:hAnsi="Garamond" w:cstheme="majorHAnsi"/>
          <w:bCs/>
          <w:color w:val="000000"/>
          <w:sz w:val="24"/>
          <w:szCs w:val="24"/>
        </w:rPr>
      </w:pPr>
      <w:r>
        <w:rPr>
          <w:rFonts w:ascii="Garamond" w:hAnsi="Garamond" w:cstheme="majorHAnsi"/>
          <w:bCs/>
          <w:color w:val="000000"/>
          <w:sz w:val="24"/>
          <w:szCs w:val="24"/>
        </w:rPr>
        <w:t>Stakeholders convened at the Pope Paul Memorial Hotel in Kampala for a pivotal City &amp; Urban Council Level Round Table Dialogue aimed at aligning Kampala's municipal policies with commitments outlined at the Global Refugee Forum (GRF). The dialogue focused on ensuring these commitments effectively benefit urban refugees and host communities within Kampala. With participation from city officials, representatives of urban divisions, NGOs, and international stakeholders, the training facilitated collaboration, defined actionable strategies, and set the stage for inclusive urban development initiatives. This report encapsulates the key discussions, outcomes, and next steps emerged from the dialogue, highlighting a shared commitment to enhancing refugee integration and urban development within Kampala.</w:t>
      </w:r>
    </w:p>
    <w:p w14:paraId="291C461C">
      <w:pPr>
        <w:widowControl w:val="0"/>
        <w:autoSpaceDE w:val="0"/>
        <w:autoSpaceDN w:val="0"/>
        <w:adjustRightInd w:val="0"/>
        <w:spacing w:after="0" w:line="240" w:lineRule="auto"/>
        <w:jc w:val="both"/>
        <w:rPr>
          <w:rFonts w:ascii="Garamond" w:hAnsi="Garamond" w:cstheme="majorHAnsi"/>
          <w:b/>
          <w:bCs/>
          <w:color w:val="000000"/>
          <w:sz w:val="24"/>
          <w:szCs w:val="24"/>
        </w:rPr>
      </w:pPr>
    </w:p>
    <w:p w14:paraId="0427E322">
      <w:pPr>
        <w:pStyle w:val="3"/>
        <w:numPr>
          <w:ilvl w:val="1"/>
          <w:numId w:val="1"/>
        </w:numPr>
        <w:ind w:left="709"/>
      </w:pPr>
      <w:bookmarkStart w:id="2" w:name="_Toc170812604"/>
      <w:r>
        <w:t>Objectives of the Dialogue</w:t>
      </w:r>
      <w:bookmarkEnd w:id="2"/>
    </w:p>
    <w:p w14:paraId="191F95C4">
      <w:pPr>
        <w:spacing w:after="0" w:line="240" w:lineRule="auto"/>
        <w:rPr>
          <w:rFonts w:ascii="Garamond" w:hAnsi="Garamond"/>
          <w:lang w:val="en-GB"/>
        </w:rPr>
      </w:pPr>
    </w:p>
    <w:p w14:paraId="5BE6E761">
      <w:pPr>
        <w:numPr>
          <w:ilvl w:val="0"/>
          <w:numId w:val="2"/>
        </w:numPr>
        <w:spacing w:after="200" w:line="276" w:lineRule="auto"/>
        <w:rPr>
          <w:rFonts w:ascii="Garamond" w:hAnsi="Garamond"/>
          <w:sz w:val="24"/>
          <w:szCs w:val="24"/>
        </w:rPr>
      </w:pPr>
      <w:r>
        <w:rPr>
          <w:rFonts w:ascii="Garamond" w:hAnsi="Garamond"/>
          <w:sz w:val="24"/>
          <w:szCs w:val="24"/>
        </w:rPr>
        <w:t>Raise awareness among stakeholders about GRF commitments and city pledges.</w:t>
      </w:r>
    </w:p>
    <w:p w14:paraId="244CCE07">
      <w:pPr>
        <w:numPr>
          <w:ilvl w:val="0"/>
          <w:numId w:val="2"/>
        </w:numPr>
        <w:spacing w:after="200" w:line="276" w:lineRule="auto"/>
        <w:rPr>
          <w:rFonts w:ascii="Garamond" w:hAnsi="Garamond"/>
          <w:sz w:val="24"/>
          <w:szCs w:val="24"/>
        </w:rPr>
      </w:pPr>
      <w:r>
        <w:rPr>
          <w:rFonts w:ascii="Garamond" w:hAnsi="Garamond"/>
          <w:sz w:val="24"/>
          <w:szCs w:val="24"/>
        </w:rPr>
        <w:t>Foster collaboration and consensus among city and urban council stakeholders.</w:t>
      </w:r>
    </w:p>
    <w:p w14:paraId="342B1DC5">
      <w:pPr>
        <w:numPr>
          <w:ilvl w:val="0"/>
          <w:numId w:val="2"/>
        </w:numPr>
        <w:spacing w:after="200" w:line="276" w:lineRule="auto"/>
        <w:rPr>
          <w:rFonts w:ascii="Garamond" w:hAnsi="Garamond"/>
          <w:sz w:val="24"/>
          <w:szCs w:val="24"/>
        </w:rPr>
      </w:pPr>
      <w:r>
        <w:rPr>
          <w:rFonts w:ascii="Garamond" w:hAnsi="Garamond"/>
          <w:sz w:val="24"/>
          <w:szCs w:val="24"/>
        </w:rPr>
        <w:t>Develop actionable strategies for implementing city pledges to benefit urban refugees and host communities.</w:t>
      </w:r>
    </w:p>
    <w:p w14:paraId="1ACCA696">
      <w:pPr>
        <w:spacing w:after="200" w:line="276" w:lineRule="auto"/>
        <w:rPr>
          <w:rFonts w:asciiTheme="majorHAnsi" w:hAnsiTheme="majorHAnsi" w:eastAsiaTheme="majorEastAsia" w:cstheme="majorBidi"/>
          <w:b/>
          <w:bCs/>
          <w:color w:val="4F81BD" w:themeColor="accent1"/>
          <w:sz w:val="26"/>
          <w:szCs w:val="26"/>
          <w14:textFill>
            <w14:solidFill>
              <w14:schemeClr w14:val="accent1"/>
            </w14:solidFill>
          </w14:textFill>
        </w:rPr>
      </w:pPr>
      <w:r>
        <w:br w:type="page"/>
      </w:r>
    </w:p>
    <w:p w14:paraId="23F9808F">
      <w:pPr>
        <w:pStyle w:val="3"/>
        <w:numPr>
          <w:ilvl w:val="1"/>
          <w:numId w:val="1"/>
        </w:numPr>
        <w:ind w:left="709"/>
      </w:pPr>
      <w:bookmarkStart w:id="3" w:name="_Toc170812605"/>
      <w:r>
        <w:t>Methodology</w:t>
      </w:r>
      <w:bookmarkEnd w:id="3"/>
      <w:r>
        <w:rPr>
          <w:spacing w:val="3"/>
          <w:shd w:val="clear" w:color="auto" w:fill="FFFFFF"/>
        </w:rPr>
        <w:t xml:space="preserve"> </w:t>
      </w:r>
    </w:p>
    <w:p w14:paraId="0D963F04">
      <w:pPr>
        <w:tabs>
          <w:tab w:val="left" w:pos="2550"/>
        </w:tabs>
        <w:spacing w:after="0" w:line="240" w:lineRule="auto"/>
        <w:jc w:val="both"/>
        <w:rPr>
          <w:rFonts w:ascii="Garamond" w:hAnsi="Garamond" w:cstheme="majorHAnsi"/>
          <w:bCs/>
          <w:spacing w:val="3"/>
          <w:sz w:val="24"/>
          <w:szCs w:val="24"/>
          <w:shd w:val="clear" w:color="auto" w:fill="FFFFFF"/>
        </w:rPr>
      </w:pPr>
    </w:p>
    <w:p w14:paraId="0F670989">
      <w:pPr>
        <w:tabs>
          <w:tab w:val="left" w:pos="2550"/>
        </w:tabs>
        <w:spacing w:after="0" w:line="240" w:lineRule="auto"/>
        <w:jc w:val="both"/>
        <w:rPr>
          <w:rFonts w:ascii="Garamond" w:hAnsi="Garamond" w:cstheme="majorHAnsi"/>
          <w:bCs/>
          <w:spacing w:val="3"/>
          <w:sz w:val="24"/>
          <w:szCs w:val="24"/>
          <w:shd w:val="clear" w:color="auto" w:fill="FFFFFF"/>
        </w:rPr>
      </w:pPr>
      <w:r>
        <w:rPr>
          <w:rFonts w:ascii="Garamond" w:hAnsi="Garamond" w:cstheme="majorHAnsi"/>
          <w:bCs/>
          <w:spacing w:val="3"/>
          <w:sz w:val="24"/>
          <w:szCs w:val="24"/>
          <w:shd w:val="clear" w:color="auto" w:fill="FFFFFF"/>
        </w:rPr>
        <w:t>The dialogue embraced participatory methods, including group discussions, plenary sessions, and brainstorming, enabling all participants to actively discuss and share their thoughts, views, and concerns.</w:t>
      </w:r>
    </w:p>
    <w:p w14:paraId="42EB2CEE">
      <w:pPr>
        <w:pStyle w:val="3"/>
        <w:numPr>
          <w:ilvl w:val="1"/>
          <w:numId w:val="1"/>
        </w:numPr>
        <w:ind w:left="709" w:hanging="698"/>
        <w:rPr>
          <w:shd w:val="clear" w:color="auto" w:fill="FFFFFF"/>
        </w:rPr>
      </w:pPr>
      <w:bookmarkStart w:id="4" w:name="_Toc170812606"/>
      <w:r>
        <w:rPr>
          <w:shd w:val="clear" w:color="auto" w:fill="FFFFFF"/>
        </w:rPr>
        <w:t>Participants of the Dialogue</w:t>
      </w:r>
      <w:bookmarkEnd w:id="4"/>
      <w:r>
        <w:rPr>
          <w:shd w:val="clear" w:color="auto" w:fill="FFFFFF"/>
        </w:rPr>
        <w:t xml:space="preserve"> </w:t>
      </w:r>
    </w:p>
    <w:p w14:paraId="14273038">
      <w:pPr>
        <w:spacing w:after="0" w:line="240" w:lineRule="auto"/>
        <w:jc w:val="both"/>
        <w:rPr>
          <w:rFonts w:ascii="Garamond" w:hAnsi="Garamond" w:cstheme="majorHAnsi"/>
          <w:spacing w:val="3"/>
          <w:sz w:val="24"/>
          <w:szCs w:val="24"/>
          <w:shd w:val="clear" w:color="auto" w:fill="FFFFFF"/>
        </w:rPr>
      </w:pPr>
    </w:p>
    <w:p w14:paraId="7D81F3CB">
      <w:pPr>
        <w:spacing w:after="0" w:line="240" w:lineRule="auto"/>
        <w:jc w:val="both"/>
        <w:rPr>
          <w:rFonts w:ascii="Garamond" w:hAnsi="Garamond"/>
          <w:color w:val="auto"/>
          <w:sz w:val="24"/>
        </w:rPr>
      </w:pPr>
      <w:r>
        <w:rPr>
          <w:rFonts w:ascii="Garamond" w:hAnsi="Garamond" w:cstheme="majorHAnsi"/>
          <w:color w:val="auto"/>
          <w:spacing w:val="3"/>
          <w:sz w:val="24"/>
          <w:szCs w:val="24"/>
          <w:shd w:val="clear" w:color="auto" w:fill="FFFFFF"/>
        </w:rPr>
        <w:t xml:space="preserve">The </w:t>
      </w:r>
      <w:r>
        <w:rPr>
          <w:rFonts w:hint="default" w:ascii="Garamond" w:hAnsi="Garamond" w:cstheme="majorHAnsi"/>
          <w:color w:val="auto"/>
          <w:spacing w:val="3"/>
          <w:sz w:val="24"/>
          <w:szCs w:val="24"/>
          <w:shd w:val="clear" w:color="auto" w:fill="FFFFFF"/>
          <w:lang w:val="en-US"/>
        </w:rPr>
        <w:t>meeting</w:t>
      </w:r>
      <w:bookmarkStart w:id="10" w:name="_GoBack"/>
      <w:bookmarkEnd w:id="10"/>
      <w:r>
        <w:rPr>
          <w:rFonts w:ascii="Garamond" w:hAnsi="Garamond" w:cstheme="majorHAnsi"/>
          <w:color w:val="auto"/>
          <w:spacing w:val="3"/>
          <w:sz w:val="24"/>
          <w:szCs w:val="24"/>
          <w:shd w:val="clear" w:color="auto" w:fill="FFFFFF"/>
        </w:rPr>
        <w:t xml:space="preserve"> was attended by 30 participants (21 females and 9 males). Refugee community was represented by 18 participants (11 females and 7 males). These refugees were from Somalia (3), Sudan (3), Congo (6), Burundi (2) and Rwanda (4). All the participants were representatives of community based organisations</w:t>
      </w:r>
      <w:r>
        <w:rPr>
          <w:rFonts w:ascii="Garamond" w:hAnsi="Garamond"/>
          <w:color w:val="auto"/>
          <w:sz w:val="24"/>
        </w:rPr>
        <w:t>. Each of these participant represented 3- 4 groups.  In fact each was supposed to work with these groups.  The participants’ representation is shown in the summary table that follows:</w:t>
      </w:r>
    </w:p>
    <w:p w14:paraId="24A38C7E">
      <w:pPr>
        <w:spacing w:after="0" w:line="240" w:lineRule="auto"/>
        <w:jc w:val="both"/>
        <w:rPr>
          <w:rFonts w:ascii="Garamond" w:hAnsi="Garamond"/>
          <w:color w:val="auto"/>
          <w:sz w:val="24"/>
          <w:szCs w:val="24"/>
          <w:lang w:val="en-GB"/>
        </w:rPr>
      </w:pPr>
    </w:p>
    <w:tbl>
      <w:tblPr>
        <w:tblStyle w:val="16"/>
        <w:tblW w:w="0" w:type="auto"/>
        <w:tblInd w:w="0" w:type="dxa"/>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Layout w:type="autofit"/>
        <w:tblCellMar>
          <w:top w:w="0" w:type="dxa"/>
          <w:left w:w="108" w:type="dxa"/>
          <w:bottom w:w="0" w:type="dxa"/>
          <w:right w:w="108" w:type="dxa"/>
        </w:tblCellMar>
      </w:tblPr>
      <w:tblGrid>
        <w:gridCol w:w="2988"/>
        <w:gridCol w:w="1044"/>
        <w:gridCol w:w="990"/>
        <w:gridCol w:w="1080"/>
      </w:tblGrid>
      <w:tr w14:paraId="184CA386">
        <w:tblPrEx>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Ex>
        <w:trPr>
          <w:trHeight w:val="341" w:hRule="atLeast"/>
        </w:trPr>
        <w:tc>
          <w:tcPr>
            <w:tcW w:w="2988" w:type="dxa"/>
            <w:tcBorders>
              <w:top w:val="single" w:color="4F81BD" w:themeColor="accent1" w:sz="8" w:space="0"/>
              <w:left w:val="single" w:color="4F81BD" w:themeColor="accent1" w:sz="8" w:space="0"/>
              <w:bottom w:val="single" w:color="4F81BD" w:themeColor="accent1" w:sz="18" w:space="0"/>
              <w:right w:val="single" w:color="4F81BD" w:themeColor="accent1" w:sz="8" w:space="0"/>
              <w:insideH w:val="single" w:sz="18" w:space="0"/>
              <w:insideV w:val="single" w:sz="8" w:space="0"/>
            </w:tcBorders>
          </w:tcPr>
          <w:p w14:paraId="0520AF7D">
            <w:pPr>
              <w:spacing w:before="0" w:after="0" w:line="240" w:lineRule="auto"/>
              <w:jc w:val="both"/>
              <w:rPr>
                <w:rFonts w:ascii="Garamond" w:hAnsi="Garamond" w:eastAsiaTheme="majorEastAsia" w:cstheme="majorBidi"/>
                <w:b/>
                <w:bCs/>
                <w:color w:val="auto"/>
                <w:sz w:val="24"/>
                <w:szCs w:val="24"/>
                <w:lang w:val="en-GB"/>
              </w:rPr>
            </w:pPr>
            <w:r>
              <w:rPr>
                <w:rFonts w:ascii="Garamond" w:hAnsi="Garamond" w:eastAsiaTheme="majorEastAsia" w:cstheme="majorBidi"/>
                <w:b/>
                <w:bCs/>
                <w:color w:val="auto"/>
                <w:sz w:val="24"/>
                <w:szCs w:val="24"/>
                <w:lang w:val="en-GB"/>
              </w:rPr>
              <w:t>Nationality</w:t>
            </w:r>
          </w:p>
        </w:tc>
        <w:tc>
          <w:tcPr>
            <w:tcW w:w="1044" w:type="dxa"/>
            <w:tcBorders>
              <w:top w:val="single" w:color="4F81BD" w:themeColor="accent1" w:sz="8" w:space="0"/>
              <w:bottom w:val="single" w:color="4F81BD" w:themeColor="accent1" w:sz="18" w:space="0"/>
              <w:right w:val="single" w:color="4F81BD" w:themeColor="accent1" w:sz="8" w:space="0"/>
              <w:insideH w:val="single" w:sz="18" w:space="0"/>
              <w:insideV w:val="single" w:sz="8" w:space="0"/>
            </w:tcBorders>
          </w:tcPr>
          <w:p w14:paraId="46BE58E3">
            <w:pPr>
              <w:spacing w:before="0" w:after="0" w:line="240" w:lineRule="auto"/>
              <w:jc w:val="both"/>
              <w:rPr>
                <w:rFonts w:ascii="Garamond" w:hAnsi="Garamond" w:eastAsiaTheme="majorEastAsia" w:cstheme="majorBidi"/>
                <w:b/>
                <w:bCs/>
                <w:color w:val="auto"/>
                <w:sz w:val="24"/>
                <w:szCs w:val="24"/>
                <w:lang w:val="en-GB"/>
              </w:rPr>
            </w:pPr>
            <w:r>
              <w:rPr>
                <w:rFonts w:ascii="Garamond" w:hAnsi="Garamond" w:eastAsiaTheme="majorEastAsia" w:cstheme="majorBidi"/>
                <w:b/>
                <w:bCs/>
                <w:color w:val="auto"/>
                <w:sz w:val="24"/>
                <w:szCs w:val="24"/>
                <w:lang w:val="en-GB"/>
              </w:rPr>
              <w:t>Female</w:t>
            </w:r>
          </w:p>
        </w:tc>
        <w:tc>
          <w:tcPr>
            <w:tcW w:w="990" w:type="dxa"/>
            <w:tcBorders>
              <w:top w:val="single" w:color="4F81BD" w:themeColor="accent1" w:sz="8" w:space="0"/>
              <w:bottom w:val="single" w:color="4F81BD" w:themeColor="accent1" w:sz="18" w:space="0"/>
              <w:right w:val="single" w:color="4F81BD" w:themeColor="accent1" w:sz="8" w:space="0"/>
              <w:insideH w:val="single" w:sz="18" w:space="0"/>
              <w:insideV w:val="single" w:sz="8" w:space="0"/>
            </w:tcBorders>
          </w:tcPr>
          <w:p w14:paraId="088D4D75">
            <w:pPr>
              <w:spacing w:before="0" w:after="0" w:line="240" w:lineRule="auto"/>
              <w:jc w:val="both"/>
              <w:rPr>
                <w:rFonts w:ascii="Garamond" w:hAnsi="Garamond" w:eastAsiaTheme="majorEastAsia" w:cstheme="majorBidi"/>
                <w:b/>
                <w:bCs/>
                <w:color w:val="auto"/>
                <w:sz w:val="24"/>
                <w:szCs w:val="24"/>
                <w:lang w:val="en-GB"/>
              </w:rPr>
            </w:pPr>
            <w:r>
              <w:rPr>
                <w:rFonts w:ascii="Garamond" w:hAnsi="Garamond" w:eastAsiaTheme="majorEastAsia" w:cstheme="majorBidi"/>
                <w:b/>
                <w:bCs/>
                <w:color w:val="auto"/>
                <w:sz w:val="24"/>
                <w:szCs w:val="24"/>
                <w:lang w:val="en-GB"/>
              </w:rPr>
              <w:t>Male</w:t>
            </w:r>
          </w:p>
        </w:tc>
        <w:tc>
          <w:tcPr>
            <w:tcW w:w="1080" w:type="dxa"/>
            <w:tcBorders>
              <w:top w:val="single" w:color="4F81BD" w:themeColor="accent1" w:sz="8" w:space="0"/>
              <w:bottom w:val="single" w:color="4F81BD" w:themeColor="accent1" w:sz="18" w:space="0"/>
              <w:right w:val="single" w:color="4F81BD" w:themeColor="accent1" w:sz="8" w:space="0"/>
              <w:insideH w:val="single" w:sz="18" w:space="0"/>
              <w:insideV w:val="single" w:sz="8" w:space="0"/>
            </w:tcBorders>
          </w:tcPr>
          <w:p w14:paraId="636B39CD">
            <w:pPr>
              <w:spacing w:before="0" w:after="0" w:line="240" w:lineRule="auto"/>
              <w:jc w:val="both"/>
              <w:rPr>
                <w:rFonts w:ascii="Garamond" w:hAnsi="Garamond" w:eastAsiaTheme="majorEastAsia" w:cstheme="majorBidi"/>
                <w:b/>
                <w:bCs/>
                <w:color w:val="auto"/>
                <w:sz w:val="24"/>
                <w:szCs w:val="24"/>
                <w:lang w:val="en-GB"/>
              </w:rPr>
            </w:pPr>
            <w:r>
              <w:rPr>
                <w:rFonts w:ascii="Garamond" w:hAnsi="Garamond" w:eastAsiaTheme="majorEastAsia" w:cstheme="majorBidi"/>
                <w:b/>
                <w:bCs/>
                <w:color w:val="auto"/>
                <w:sz w:val="24"/>
                <w:szCs w:val="24"/>
                <w:lang w:val="en-GB"/>
              </w:rPr>
              <w:t>Total</w:t>
            </w:r>
          </w:p>
        </w:tc>
      </w:tr>
      <w:tr w14:paraId="6E8941DB">
        <w:tblPrEx>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Ex>
        <w:tc>
          <w:tcPr>
            <w:tcW w:w="2988" w:type="dxa"/>
            <w:tcBorders>
              <w:top w:val="single" w:color="4F81BD" w:themeColor="accent1" w:sz="8" w:space="0"/>
              <w:left w:val="single" w:color="4F81BD" w:themeColor="accent1" w:sz="8" w:space="0"/>
              <w:bottom w:val="single" w:color="4F81BD" w:themeColor="accent1" w:sz="8" w:space="0"/>
              <w:right w:val="single" w:color="4F81BD" w:themeColor="accent1" w:sz="8" w:space="0"/>
              <w:insideH w:val="single" w:sz="8" w:space="0"/>
              <w:insideV w:val="single" w:sz="8" w:space="0"/>
            </w:tcBorders>
            <w:shd w:val="clear" w:color="auto" w:fill="D3DFEE" w:themeFill="accent1" w:themeFillTint="3F"/>
          </w:tcPr>
          <w:p w14:paraId="7FD2670A">
            <w:pPr>
              <w:spacing w:after="0" w:line="240" w:lineRule="auto"/>
              <w:jc w:val="both"/>
              <w:rPr>
                <w:rFonts w:ascii="Garamond" w:hAnsi="Garamond" w:eastAsiaTheme="majorEastAsia" w:cstheme="majorBidi"/>
                <w:b w:val="0"/>
                <w:bCs/>
                <w:color w:val="auto"/>
                <w:sz w:val="24"/>
                <w:szCs w:val="24"/>
                <w:lang w:val="en-GB"/>
              </w:rPr>
            </w:pPr>
            <w:r>
              <w:rPr>
                <w:rFonts w:ascii="Garamond" w:hAnsi="Garamond" w:eastAsiaTheme="majorEastAsia" w:cstheme="majorBidi"/>
                <w:b w:val="0"/>
                <w:bCs/>
                <w:color w:val="auto"/>
                <w:sz w:val="24"/>
                <w:szCs w:val="24"/>
                <w:lang w:val="en-GB"/>
              </w:rPr>
              <w:t>Burundians</w:t>
            </w:r>
          </w:p>
        </w:tc>
        <w:tc>
          <w:tcPr>
            <w:tcW w:w="1044" w:type="dxa"/>
            <w:tcBorders>
              <w:top w:val="single" w:color="4F81BD" w:themeColor="accent1" w:sz="8" w:space="0"/>
              <w:bottom w:val="single" w:color="4F81BD" w:themeColor="accent1" w:sz="8" w:space="0"/>
              <w:right w:val="single" w:color="4F81BD" w:themeColor="accent1" w:sz="8" w:space="0"/>
              <w:insideH w:val="single" w:sz="8" w:space="0"/>
              <w:insideV w:val="single" w:sz="8" w:space="0"/>
            </w:tcBorders>
            <w:shd w:val="clear" w:color="auto" w:fill="D3DFEE" w:themeFill="accent1" w:themeFillTint="3F"/>
          </w:tcPr>
          <w:p w14:paraId="688705B7">
            <w:pPr>
              <w:spacing w:after="0" w:line="240" w:lineRule="auto"/>
              <w:jc w:val="both"/>
              <w:rPr>
                <w:rFonts w:ascii="Garamond" w:hAnsi="Garamond"/>
                <w:color w:val="auto"/>
                <w:sz w:val="24"/>
                <w:szCs w:val="24"/>
                <w:lang w:val="en-GB"/>
              </w:rPr>
            </w:pPr>
            <w:r>
              <w:rPr>
                <w:rFonts w:ascii="Garamond" w:hAnsi="Garamond"/>
                <w:color w:val="auto"/>
                <w:sz w:val="24"/>
                <w:szCs w:val="24"/>
                <w:lang w:val="en-GB"/>
              </w:rPr>
              <w:t>1</w:t>
            </w:r>
          </w:p>
        </w:tc>
        <w:tc>
          <w:tcPr>
            <w:tcW w:w="990" w:type="dxa"/>
            <w:tcBorders>
              <w:top w:val="single" w:color="4F81BD" w:themeColor="accent1" w:sz="8" w:space="0"/>
              <w:bottom w:val="single" w:color="4F81BD" w:themeColor="accent1" w:sz="8" w:space="0"/>
              <w:right w:val="single" w:color="4F81BD" w:themeColor="accent1" w:sz="8" w:space="0"/>
              <w:insideH w:val="single" w:sz="8" w:space="0"/>
              <w:insideV w:val="single" w:sz="8" w:space="0"/>
            </w:tcBorders>
            <w:shd w:val="clear" w:color="auto" w:fill="D3DFEE" w:themeFill="accent1" w:themeFillTint="3F"/>
          </w:tcPr>
          <w:p w14:paraId="68C2F4D4">
            <w:pPr>
              <w:spacing w:after="0" w:line="240" w:lineRule="auto"/>
              <w:jc w:val="both"/>
              <w:rPr>
                <w:rFonts w:ascii="Garamond" w:hAnsi="Garamond"/>
                <w:color w:val="auto"/>
                <w:sz w:val="24"/>
                <w:szCs w:val="24"/>
                <w:lang w:val="en-GB"/>
              </w:rPr>
            </w:pPr>
            <w:r>
              <w:rPr>
                <w:rFonts w:ascii="Garamond" w:hAnsi="Garamond"/>
                <w:color w:val="auto"/>
                <w:sz w:val="24"/>
                <w:szCs w:val="24"/>
                <w:lang w:val="en-GB"/>
              </w:rPr>
              <w:t>1</w:t>
            </w:r>
          </w:p>
        </w:tc>
        <w:tc>
          <w:tcPr>
            <w:tcW w:w="1080" w:type="dxa"/>
            <w:tcBorders>
              <w:top w:val="single" w:color="4F81BD" w:themeColor="accent1" w:sz="8" w:space="0"/>
              <w:bottom w:val="single" w:color="4F81BD" w:themeColor="accent1" w:sz="8" w:space="0"/>
              <w:right w:val="single" w:color="4F81BD" w:themeColor="accent1" w:sz="8" w:space="0"/>
              <w:insideH w:val="single" w:sz="8" w:space="0"/>
              <w:insideV w:val="single" w:sz="8" w:space="0"/>
            </w:tcBorders>
            <w:shd w:val="clear" w:color="auto" w:fill="D3DFEE" w:themeFill="accent1" w:themeFillTint="3F"/>
          </w:tcPr>
          <w:p w14:paraId="78E91ECD">
            <w:pPr>
              <w:spacing w:after="0" w:line="240" w:lineRule="auto"/>
              <w:jc w:val="both"/>
              <w:rPr>
                <w:rFonts w:ascii="Garamond" w:hAnsi="Garamond"/>
                <w:b/>
                <w:color w:val="auto"/>
                <w:sz w:val="24"/>
                <w:szCs w:val="24"/>
                <w:lang w:val="en-GB"/>
              </w:rPr>
            </w:pPr>
            <w:r>
              <w:rPr>
                <w:rFonts w:ascii="Garamond" w:hAnsi="Garamond"/>
                <w:b/>
                <w:color w:val="auto"/>
                <w:sz w:val="24"/>
                <w:szCs w:val="24"/>
                <w:lang w:val="en-GB"/>
              </w:rPr>
              <w:t>2</w:t>
            </w:r>
          </w:p>
        </w:tc>
      </w:tr>
      <w:tr w14:paraId="7BE8A103">
        <w:tblPrEx>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Ex>
        <w:tc>
          <w:tcPr>
            <w:tcW w:w="2988" w:type="dxa"/>
            <w:tcBorders>
              <w:top w:val="single" w:color="4F81BD" w:themeColor="accent1" w:sz="8" w:space="0"/>
              <w:left w:val="single" w:color="4F81BD" w:themeColor="accent1" w:sz="8" w:space="0"/>
              <w:bottom w:val="single" w:color="4F81BD" w:themeColor="accent1" w:sz="8" w:space="0"/>
              <w:right w:val="single" w:color="4F81BD" w:themeColor="accent1" w:sz="8" w:space="0"/>
              <w:insideH w:val="single" w:sz="8" w:space="0"/>
              <w:insideV w:val="single" w:sz="8" w:space="0"/>
            </w:tcBorders>
          </w:tcPr>
          <w:p w14:paraId="13B32D82">
            <w:pPr>
              <w:spacing w:after="0" w:line="240" w:lineRule="auto"/>
              <w:jc w:val="both"/>
              <w:rPr>
                <w:rFonts w:ascii="Garamond" w:hAnsi="Garamond" w:eastAsiaTheme="majorEastAsia" w:cstheme="majorBidi"/>
                <w:b w:val="0"/>
                <w:bCs/>
                <w:color w:val="auto"/>
                <w:sz w:val="24"/>
                <w:szCs w:val="24"/>
                <w:lang w:val="en-GB"/>
              </w:rPr>
            </w:pPr>
            <w:r>
              <w:rPr>
                <w:rFonts w:ascii="Garamond" w:hAnsi="Garamond" w:eastAsiaTheme="majorEastAsia" w:cstheme="majorBidi"/>
                <w:b w:val="0"/>
                <w:bCs/>
                <w:color w:val="auto"/>
                <w:sz w:val="24"/>
                <w:szCs w:val="24"/>
                <w:lang w:val="en-GB"/>
              </w:rPr>
              <w:t>Congolese</w:t>
            </w:r>
          </w:p>
        </w:tc>
        <w:tc>
          <w:tcPr>
            <w:tcW w:w="1044" w:type="dxa"/>
            <w:tcBorders>
              <w:top w:val="single" w:color="4F81BD" w:themeColor="accent1" w:sz="8" w:space="0"/>
              <w:bottom w:val="single" w:color="4F81BD" w:themeColor="accent1" w:sz="8" w:space="0"/>
              <w:right w:val="single" w:color="4F81BD" w:themeColor="accent1" w:sz="8" w:space="0"/>
              <w:insideH w:val="single" w:sz="8" w:space="0"/>
              <w:insideV w:val="single" w:sz="8" w:space="0"/>
            </w:tcBorders>
          </w:tcPr>
          <w:p w14:paraId="039396DA">
            <w:pPr>
              <w:spacing w:after="0" w:line="240" w:lineRule="auto"/>
              <w:jc w:val="both"/>
              <w:rPr>
                <w:rFonts w:ascii="Garamond" w:hAnsi="Garamond"/>
                <w:color w:val="auto"/>
                <w:sz w:val="24"/>
                <w:szCs w:val="24"/>
                <w:lang w:val="en-GB"/>
              </w:rPr>
            </w:pPr>
            <w:r>
              <w:rPr>
                <w:rFonts w:ascii="Garamond" w:hAnsi="Garamond"/>
                <w:color w:val="auto"/>
                <w:sz w:val="24"/>
                <w:szCs w:val="24"/>
                <w:lang w:val="en-GB"/>
              </w:rPr>
              <w:t>5</w:t>
            </w:r>
          </w:p>
        </w:tc>
        <w:tc>
          <w:tcPr>
            <w:tcW w:w="990" w:type="dxa"/>
            <w:tcBorders>
              <w:top w:val="single" w:color="4F81BD" w:themeColor="accent1" w:sz="8" w:space="0"/>
              <w:bottom w:val="single" w:color="4F81BD" w:themeColor="accent1" w:sz="8" w:space="0"/>
              <w:right w:val="single" w:color="4F81BD" w:themeColor="accent1" w:sz="8" w:space="0"/>
              <w:insideH w:val="single" w:sz="8" w:space="0"/>
              <w:insideV w:val="single" w:sz="8" w:space="0"/>
            </w:tcBorders>
          </w:tcPr>
          <w:p w14:paraId="5C68A099">
            <w:pPr>
              <w:spacing w:after="0" w:line="240" w:lineRule="auto"/>
              <w:jc w:val="both"/>
              <w:rPr>
                <w:rFonts w:ascii="Garamond" w:hAnsi="Garamond"/>
                <w:color w:val="auto"/>
                <w:sz w:val="24"/>
                <w:szCs w:val="24"/>
                <w:lang w:val="en-GB"/>
              </w:rPr>
            </w:pPr>
            <w:r>
              <w:rPr>
                <w:rFonts w:ascii="Garamond" w:hAnsi="Garamond"/>
                <w:color w:val="auto"/>
                <w:sz w:val="24"/>
                <w:szCs w:val="24"/>
                <w:lang w:val="en-GB"/>
              </w:rPr>
              <w:t>1</w:t>
            </w:r>
          </w:p>
        </w:tc>
        <w:tc>
          <w:tcPr>
            <w:tcW w:w="1080" w:type="dxa"/>
            <w:tcBorders>
              <w:top w:val="single" w:color="4F81BD" w:themeColor="accent1" w:sz="8" w:space="0"/>
              <w:bottom w:val="single" w:color="4F81BD" w:themeColor="accent1" w:sz="8" w:space="0"/>
              <w:right w:val="single" w:color="4F81BD" w:themeColor="accent1" w:sz="8" w:space="0"/>
              <w:insideH w:val="single" w:sz="8" w:space="0"/>
              <w:insideV w:val="single" w:sz="8" w:space="0"/>
            </w:tcBorders>
          </w:tcPr>
          <w:p w14:paraId="75453496">
            <w:pPr>
              <w:spacing w:after="0" w:line="240" w:lineRule="auto"/>
              <w:jc w:val="both"/>
              <w:rPr>
                <w:rFonts w:ascii="Garamond" w:hAnsi="Garamond"/>
                <w:b/>
                <w:color w:val="auto"/>
                <w:sz w:val="24"/>
                <w:szCs w:val="24"/>
                <w:lang w:val="en-GB"/>
              </w:rPr>
            </w:pPr>
            <w:r>
              <w:rPr>
                <w:rFonts w:ascii="Garamond" w:hAnsi="Garamond"/>
                <w:b/>
                <w:color w:val="auto"/>
                <w:sz w:val="24"/>
                <w:szCs w:val="24"/>
                <w:lang w:val="en-GB"/>
              </w:rPr>
              <w:t>6</w:t>
            </w:r>
          </w:p>
        </w:tc>
      </w:tr>
      <w:tr w14:paraId="6FEBB48B">
        <w:tblPrEx>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Ex>
        <w:tc>
          <w:tcPr>
            <w:tcW w:w="2988" w:type="dxa"/>
            <w:tcBorders>
              <w:top w:val="single" w:color="4F81BD" w:themeColor="accent1" w:sz="8" w:space="0"/>
              <w:left w:val="single" w:color="4F81BD" w:themeColor="accent1" w:sz="8" w:space="0"/>
              <w:bottom w:val="single" w:color="4F81BD" w:themeColor="accent1" w:sz="8" w:space="0"/>
              <w:right w:val="single" w:color="4F81BD" w:themeColor="accent1" w:sz="8" w:space="0"/>
              <w:insideH w:val="single" w:sz="8" w:space="0"/>
              <w:insideV w:val="single" w:sz="8" w:space="0"/>
            </w:tcBorders>
            <w:shd w:val="clear" w:color="auto" w:fill="D3DFEE" w:themeFill="accent1" w:themeFillTint="3F"/>
          </w:tcPr>
          <w:p w14:paraId="4D637A08">
            <w:pPr>
              <w:spacing w:after="0" w:line="240" w:lineRule="auto"/>
              <w:jc w:val="both"/>
              <w:rPr>
                <w:rFonts w:ascii="Garamond" w:hAnsi="Garamond" w:eastAsiaTheme="majorEastAsia" w:cstheme="majorBidi"/>
                <w:b w:val="0"/>
                <w:bCs/>
                <w:color w:val="auto"/>
                <w:sz w:val="24"/>
                <w:szCs w:val="24"/>
                <w:lang w:val="en-GB"/>
              </w:rPr>
            </w:pPr>
            <w:r>
              <w:rPr>
                <w:rFonts w:ascii="Garamond" w:hAnsi="Garamond" w:eastAsiaTheme="majorEastAsia" w:cstheme="majorBidi"/>
                <w:b w:val="0"/>
                <w:bCs/>
                <w:color w:val="auto"/>
                <w:sz w:val="24"/>
                <w:szCs w:val="24"/>
                <w:lang w:val="en-GB"/>
              </w:rPr>
              <w:t>Rwandese</w:t>
            </w:r>
          </w:p>
        </w:tc>
        <w:tc>
          <w:tcPr>
            <w:tcW w:w="1044" w:type="dxa"/>
            <w:tcBorders>
              <w:top w:val="single" w:color="4F81BD" w:themeColor="accent1" w:sz="8" w:space="0"/>
              <w:bottom w:val="single" w:color="4F81BD" w:themeColor="accent1" w:sz="8" w:space="0"/>
              <w:right w:val="single" w:color="4F81BD" w:themeColor="accent1" w:sz="8" w:space="0"/>
              <w:insideH w:val="single" w:sz="8" w:space="0"/>
              <w:insideV w:val="single" w:sz="8" w:space="0"/>
            </w:tcBorders>
            <w:shd w:val="clear" w:color="auto" w:fill="D3DFEE" w:themeFill="accent1" w:themeFillTint="3F"/>
          </w:tcPr>
          <w:p w14:paraId="5D587DD8">
            <w:pPr>
              <w:spacing w:after="0" w:line="240" w:lineRule="auto"/>
              <w:jc w:val="both"/>
              <w:rPr>
                <w:rFonts w:ascii="Garamond" w:hAnsi="Garamond"/>
                <w:color w:val="auto"/>
                <w:sz w:val="24"/>
                <w:szCs w:val="24"/>
                <w:lang w:val="en-GB"/>
              </w:rPr>
            </w:pPr>
            <w:r>
              <w:rPr>
                <w:rFonts w:ascii="Garamond" w:hAnsi="Garamond"/>
                <w:color w:val="auto"/>
                <w:sz w:val="24"/>
                <w:szCs w:val="24"/>
                <w:lang w:val="en-GB"/>
              </w:rPr>
              <w:t>3</w:t>
            </w:r>
          </w:p>
        </w:tc>
        <w:tc>
          <w:tcPr>
            <w:tcW w:w="990" w:type="dxa"/>
            <w:tcBorders>
              <w:top w:val="single" w:color="4F81BD" w:themeColor="accent1" w:sz="8" w:space="0"/>
              <w:bottom w:val="single" w:color="4F81BD" w:themeColor="accent1" w:sz="8" w:space="0"/>
              <w:right w:val="single" w:color="4F81BD" w:themeColor="accent1" w:sz="8" w:space="0"/>
              <w:insideH w:val="single" w:sz="8" w:space="0"/>
              <w:insideV w:val="single" w:sz="8" w:space="0"/>
            </w:tcBorders>
            <w:shd w:val="clear" w:color="auto" w:fill="D3DFEE" w:themeFill="accent1" w:themeFillTint="3F"/>
          </w:tcPr>
          <w:p w14:paraId="541B7FB3">
            <w:pPr>
              <w:spacing w:after="0" w:line="240" w:lineRule="auto"/>
              <w:jc w:val="both"/>
              <w:rPr>
                <w:rFonts w:ascii="Garamond" w:hAnsi="Garamond"/>
                <w:color w:val="auto"/>
                <w:sz w:val="24"/>
                <w:szCs w:val="24"/>
                <w:lang w:val="en-GB"/>
              </w:rPr>
            </w:pPr>
            <w:r>
              <w:rPr>
                <w:rFonts w:ascii="Garamond" w:hAnsi="Garamond"/>
                <w:color w:val="auto"/>
                <w:sz w:val="24"/>
                <w:szCs w:val="24"/>
                <w:lang w:val="en-GB"/>
              </w:rPr>
              <w:t>1</w:t>
            </w:r>
          </w:p>
        </w:tc>
        <w:tc>
          <w:tcPr>
            <w:tcW w:w="1080" w:type="dxa"/>
            <w:tcBorders>
              <w:top w:val="single" w:color="4F81BD" w:themeColor="accent1" w:sz="8" w:space="0"/>
              <w:bottom w:val="single" w:color="4F81BD" w:themeColor="accent1" w:sz="8" w:space="0"/>
              <w:right w:val="single" w:color="4F81BD" w:themeColor="accent1" w:sz="8" w:space="0"/>
              <w:insideH w:val="single" w:sz="8" w:space="0"/>
              <w:insideV w:val="single" w:sz="8" w:space="0"/>
            </w:tcBorders>
            <w:shd w:val="clear" w:color="auto" w:fill="D3DFEE" w:themeFill="accent1" w:themeFillTint="3F"/>
          </w:tcPr>
          <w:p w14:paraId="6307CC7F">
            <w:pPr>
              <w:spacing w:after="0" w:line="240" w:lineRule="auto"/>
              <w:jc w:val="both"/>
              <w:rPr>
                <w:rFonts w:ascii="Garamond" w:hAnsi="Garamond"/>
                <w:b/>
                <w:color w:val="auto"/>
                <w:sz w:val="24"/>
                <w:szCs w:val="24"/>
                <w:lang w:val="en-GB"/>
              </w:rPr>
            </w:pPr>
            <w:r>
              <w:rPr>
                <w:rFonts w:ascii="Garamond" w:hAnsi="Garamond"/>
                <w:b/>
                <w:color w:val="auto"/>
                <w:sz w:val="24"/>
                <w:szCs w:val="24"/>
                <w:lang w:val="en-GB"/>
              </w:rPr>
              <w:t>4</w:t>
            </w:r>
          </w:p>
        </w:tc>
      </w:tr>
      <w:tr w14:paraId="706FC0BE">
        <w:tblPrEx>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Ex>
        <w:tc>
          <w:tcPr>
            <w:tcW w:w="2988" w:type="dxa"/>
            <w:tcBorders>
              <w:top w:val="single" w:color="4F81BD" w:themeColor="accent1" w:sz="8" w:space="0"/>
              <w:left w:val="single" w:color="4F81BD" w:themeColor="accent1" w:sz="8" w:space="0"/>
              <w:bottom w:val="single" w:color="4F81BD" w:themeColor="accent1" w:sz="8" w:space="0"/>
              <w:right w:val="single" w:color="4F81BD" w:themeColor="accent1" w:sz="8" w:space="0"/>
              <w:insideH w:val="single" w:sz="8" w:space="0"/>
              <w:insideV w:val="single" w:sz="8" w:space="0"/>
            </w:tcBorders>
          </w:tcPr>
          <w:p w14:paraId="65E3BF3F">
            <w:pPr>
              <w:spacing w:after="0" w:line="240" w:lineRule="auto"/>
              <w:jc w:val="both"/>
              <w:rPr>
                <w:rFonts w:ascii="Garamond" w:hAnsi="Garamond" w:eastAsiaTheme="majorEastAsia" w:cstheme="majorBidi"/>
                <w:b w:val="0"/>
                <w:bCs/>
                <w:color w:val="auto"/>
                <w:sz w:val="24"/>
                <w:szCs w:val="24"/>
                <w:lang w:val="en-GB"/>
              </w:rPr>
            </w:pPr>
            <w:r>
              <w:rPr>
                <w:rFonts w:ascii="Garamond" w:hAnsi="Garamond" w:eastAsiaTheme="majorEastAsia" w:cstheme="majorBidi"/>
                <w:b w:val="0"/>
                <w:bCs/>
                <w:color w:val="auto"/>
                <w:sz w:val="24"/>
                <w:szCs w:val="24"/>
                <w:lang w:val="en-GB"/>
              </w:rPr>
              <w:t>Somali</w:t>
            </w:r>
          </w:p>
        </w:tc>
        <w:tc>
          <w:tcPr>
            <w:tcW w:w="1044" w:type="dxa"/>
            <w:tcBorders>
              <w:top w:val="single" w:color="4F81BD" w:themeColor="accent1" w:sz="8" w:space="0"/>
              <w:bottom w:val="single" w:color="4F81BD" w:themeColor="accent1" w:sz="8" w:space="0"/>
              <w:right w:val="single" w:color="4F81BD" w:themeColor="accent1" w:sz="8" w:space="0"/>
              <w:insideH w:val="single" w:sz="8" w:space="0"/>
              <w:insideV w:val="single" w:sz="8" w:space="0"/>
            </w:tcBorders>
          </w:tcPr>
          <w:p w14:paraId="56DC218F">
            <w:pPr>
              <w:spacing w:after="0" w:line="240" w:lineRule="auto"/>
              <w:jc w:val="both"/>
              <w:rPr>
                <w:rFonts w:ascii="Garamond" w:hAnsi="Garamond"/>
                <w:color w:val="auto"/>
                <w:sz w:val="24"/>
                <w:szCs w:val="24"/>
                <w:lang w:val="en-GB"/>
              </w:rPr>
            </w:pPr>
            <w:r>
              <w:rPr>
                <w:rFonts w:ascii="Garamond" w:hAnsi="Garamond"/>
                <w:color w:val="auto"/>
                <w:sz w:val="24"/>
                <w:szCs w:val="24"/>
                <w:lang w:val="en-GB"/>
              </w:rPr>
              <w:t>0</w:t>
            </w:r>
          </w:p>
        </w:tc>
        <w:tc>
          <w:tcPr>
            <w:tcW w:w="990" w:type="dxa"/>
            <w:tcBorders>
              <w:top w:val="single" w:color="4F81BD" w:themeColor="accent1" w:sz="8" w:space="0"/>
              <w:bottom w:val="single" w:color="4F81BD" w:themeColor="accent1" w:sz="8" w:space="0"/>
              <w:right w:val="single" w:color="4F81BD" w:themeColor="accent1" w:sz="8" w:space="0"/>
              <w:insideH w:val="single" w:sz="8" w:space="0"/>
              <w:insideV w:val="single" w:sz="8" w:space="0"/>
            </w:tcBorders>
          </w:tcPr>
          <w:p w14:paraId="738438FE">
            <w:pPr>
              <w:spacing w:after="0" w:line="240" w:lineRule="auto"/>
              <w:jc w:val="both"/>
              <w:rPr>
                <w:rFonts w:ascii="Garamond" w:hAnsi="Garamond"/>
                <w:color w:val="auto"/>
                <w:sz w:val="24"/>
                <w:szCs w:val="24"/>
                <w:lang w:val="en-GB"/>
              </w:rPr>
            </w:pPr>
            <w:r>
              <w:rPr>
                <w:rFonts w:ascii="Garamond" w:hAnsi="Garamond"/>
                <w:color w:val="auto"/>
                <w:sz w:val="24"/>
                <w:szCs w:val="24"/>
                <w:lang w:val="en-GB"/>
              </w:rPr>
              <w:t>3</w:t>
            </w:r>
          </w:p>
        </w:tc>
        <w:tc>
          <w:tcPr>
            <w:tcW w:w="1080" w:type="dxa"/>
            <w:tcBorders>
              <w:top w:val="single" w:color="4F81BD" w:themeColor="accent1" w:sz="8" w:space="0"/>
              <w:bottom w:val="single" w:color="4F81BD" w:themeColor="accent1" w:sz="8" w:space="0"/>
              <w:right w:val="single" w:color="4F81BD" w:themeColor="accent1" w:sz="8" w:space="0"/>
              <w:insideH w:val="single" w:sz="8" w:space="0"/>
              <w:insideV w:val="single" w:sz="8" w:space="0"/>
            </w:tcBorders>
          </w:tcPr>
          <w:p w14:paraId="62C5B0C4">
            <w:pPr>
              <w:spacing w:after="0" w:line="240" w:lineRule="auto"/>
              <w:jc w:val="both"/>
              <w:rPr>
                <w:rFonts w:ascii="Garamond" w:hAnsi="Garamond"/>
                <w:b/>
                <w:color w:val="auto"/>
                <w:sz w:val="24"/>
                <w:szCs w:val="24"/>
                <w:lang w:val="en-GB"/>
              </w:rPr>
            </w:pPr>
            <w:r>
              <w:rPr>
                <w:rFonts w:ascii="Garamond" w:hAnsi="Garamond"/>
                <w:b/>
                <w:color w:val="auto"/>
                <w:sz w:val="24"/>
                <w:szCs w:val="24"/>
                <w:lang w:val="en-GB"/>
              </w:rPr>
              <w:t>3</w:t>
            </w:r>
          </w:p>
        </w:tc>
      </w:tr>
      <w:tr w14:paraId="1D95D18C">
        <w:tblPrEx>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Ex>
        <w:tc>
          <w:tcPr>
            <w:tcW w:w="2988" w:type="dxa"/>
            <w:tcBorders>
              <w:top w:val="single" w:color="4F81BD" w:themeColor="accent1" w:sz="8" w:space="0"/>
              <w:left w:val="single" w:color="4F81BD" w:themeColor="accent1" w:sz="8" w:space="0"/>
              <w:bottom w:val="single" w:color="4F81BD" w:themeColor="accent1" w:sz="8" w:space="0"/>
              <w:right w:val="single" w:color="4F81BD" w:themeColor="accent1" w:sz="8" w:space="0"/>
              <w:insideH w:val="single" w:sz="8" w:space="0"/>
              <w:insideV w:val="single" w:sz="8" w:space="0"/>
            </w:tcBorders>
            <w:shd w:val="clear" w:color="auto" w:fill="D3DFEE" w:themeFill="accent1" w:themeFillTint="3F"/>
          </w:tcPr>
          <w:p w14:paraId="101510AB">
            <w:pPr>
              <w:spacing w:after="0" w:line="240" w:lineRule="auto"/>
              <w:jc w:val="both"/>
              <w:rPr>
                <w:rFonts w:ascii="Garamond" w:hAnsi="Garamond" w:eastAsiaTheme="majorEastAsia" w:cstheme="majorBidi"/>
                <w:b w:val="0"/>
                <w:bCs/>
                <w:color w:val="auto"/>
                <w:sz w:val="24"/>
                <w:szCs w:val="24"/>
                <w:lang w:val="en-GB"/>
              </w:rPr>
            </w:pPr>
            <w:r>
              <w:rPr>
                <w:rFonts w:ascii="Garamond" w:hAnsi="Garamond" w:eastAsiaTheme="majorEastAsia" w:cstheme="majorBidi"/>
                <w:b w:val="0"/>
                <w:bCs/>
                <w:color w:val="auto"/>
                <w:sz w:val="24"/>
                <w:szCs w:val="24"/>
                <w:lang w:val="en-GB"/>
              </w:rPr>
              <w:t>Sudanese</w:t>
            </w:r>
          </w:p>
        </w:tc>
        <w:tc>
          <w:tcPr>
            <w:tcW w:w="1044" w:type="dxa"/>
            <w:tcBorders>
              <w:top w:val="single" w:color="4F81BD" w:themeColor="accent1" w:sz="8" w:space="0"/>
              <w:bottom w:val="single" w:color="4F81BD" w:themeColor="accent1" w:sz="8" w:space="0"/>
              <w:right w:val="single" w:color="4F81BD" w:themeColor="accent1" w:sz="8" w:space="0"/>
              <w:insideH w:val="single" w:sz="8" w:space="0"/>
              <w:insideV w:val="single" w:sz="8" w:space="0"/>
            </w:tcBorders>
            <w:shd w:val="clear" w:color="auto" w:fill="D3DFEE" w:themeFill="accent1" w:themeFillTint="3F"/>
          </w:tcPr>
          <w:p w14:paraId="66A46852">
            <w:pPr>
              <w:spacing w:after="0" w:line="240" w:lineRule="auto"/>
              <w:jc w:val="both"/>
              <w:rPr>
                <w:rFonts w:ascii="Garamond" w:hAnsi="Garamond"/>
                <w:color w:val="auto"/>
                <w:sz w:val="24"/>
                <w:szCs w:val="24"/>
                <w:lang w:val="en-GB"/>
              </w:rPr>
            </w:pPr>
            <w:r>
              <w:rPr>
                <w:rFonts w:ascii="Garamond" w:hAnsi="Garamond"/>
                <w:color w:val="auto"/>
                <w:sz w:val="24"/>
                <w:szCs w:val="24"/>
                <w:lang w:val="en-GB"/>
              </w:rPr>
              <w:t>2</w:t>
            </w:r>
          </w:p>
        </w:tc>
        <w:tc>
          <w:tcPr>
            <w:tcW w:w="990" w:type="dxa"/>
            <w:tcBorders>
              <w:top w:val="single" w:color="4F81BD" w:themeColor="accent1" w:sz="8" w:space="0"/>
              <w:bottom w:val="single" w:color="4F81BD" w:themeColor="accent1" w:sz="8" w:space="0"/>
              <w:right w:val="single" w:color="4F81BD" w:themeColor="accent1" w:sz="8" w:space="0"/>
              <w:insideH w:val="single" w:sz="8" w:space="0"/>
              <w:insideV w:val="single" w:sz="8" w:space="0"/>
            </w:tcBorders>
            <w:shd w:val="clear" w:color="auto" w:fill="D3DFEE" w:themeFill="accent1" w:themeFillTint="3F"/>
          </w:tcPr>
          <w:p w14:paraId="2CC03568">
            <w:pPr>
              <w:spacing w:after="0" w:line="240" w:lineRule="auto"/>
              <w:jc w:val="both"/>
              <w:rPr>
                <w:rFonts w:ascii="Garamond" w:hAnsi="Garamond"/>
                <w:color w:val="auto"/>
                <w:sz w:val="24"/>
                <w:szCs w:val="24"/>
                <w:lang w:val="en-GB"/>
              </w:rPr>
            </w:pPr>
            <w:r>
              <w:rPr>
                <w:rFonts w:ascii="Garamond" w:hAnsi="Garamond"/>
                <w:color w:val="auto"/>
                <w:sz w:val="24"/>
                <w:szCs w:val="24"/>
                <w:lang w:val="en-GB"/>
              </w:rPr>
              <w:t>1</w:t>
            </w:r>
          </w:p>
        </w:tc>
        <w:tc>
          <w:tcPr>
            <w:tcW w:w="1080" w:type="dxa"/>
            <w:tcBorders>
              <w:top w:val="single" w:color="4F81BD" w:themeColor="accent1" w:sz="8" w:space="0"/>
              <w:bottom w:val="single" w:color="4F81BD" w:themeColor="accent1" w:sz="8" w:space="0"/>
              <w:right w:val="single" w:color="4F81BD" w:themeColor="accent1" w:sz="8" w:space="0"/>
              <w:insideH w:val="single" w:sz="8" w:space="0"/>
              <w:insideV w:val="single" w:sz="8" w:space="0"/>
            </w:tcBorders>
            <w:shd w:val="clear" w:color="auto" w:fill="D3DFEE" w:themeFill="accent1" w:themeFillTint="3F"/>
          </w:tcPr>
          <w:p w14:paraId="5EDFD55F">
            <w:pPr>
              <w:spacing w:after="0" w:line="240" w:lineRule="auto"/>
              <w:jc w:val="both"/>
              <w:rPr>
                <w:rFonts w:ascii="Garamond" w:hAnsi="Garamond"/>
                <w:b/>
                <w:color w:val="auto"/>
                <w:sz w:val="24"/>
                <w:szCs w:val="24"/>
                <w:lang w:val="en-GB"/>
              </w:rPr>
            </w:pPr>
            <w:r>
              <w:rPr>
                <w:rFonts w:ascii="Garamond" w:hAnsi="Garamond"/>
                <w:b/>
                <w:color w:val="auto"/>
                <w:sz w:val="24"/>
                <w:szCs w:val="24"/>
                <w:lang w:val="en-GB"/>
              </w:rPr>
              <w:t>3</w:t>
            </w:r>
          </w:p>
        </w:tc>
      </w:tr>
      <w:tr w14:paraId="00D38C6A">
        <w:tblPrEx>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Ex>
        <w:tc>
          <w:tcPr>
            <w:tcW w:w="2988" w:type="dxa"/>
            <w:tcBorders>
              <w:top w:val="single" w:color="4F81BD" w:themeColor="accent1" w:sz="8" w:space="0"/>
              <w:left w:val="single" w:color="4F81BD" w:themeColor="accent1" w:sz="8" w:space="0"/>
              <w:bottom w:val="single" w:color="4F81BD" w:themeColor="accent1" w:sz="8" w:space="0"/>
              <w:right w:val="single" w:color="4F81BD" w:themeColor="accent1" w:sz="8" w:space="0"/>
              <w:insideH w:val="single" w:sz="8" w:space="0"/>
              <w:insideV w:val="single" w:sz="8" w:space="0"/>
            </w:tcBorders>
          </w:tcPr>
          <w:p w14:paraId="38B0FA18">
            <w:pPr>
              <w:spacing w:after="0" w:line="240" w:lineRule="auto"/>
              <w:jc w:val="both"/>
              <w:rPr>
                <w:rFonts w:ascii="Garamond" w:hAnsi="Garamond" w:eastAsiaTheme="majorEastAsia" w:cstheme="majorBidi"/>
                <w:b w:val="0"/>
                <w:bCs/>
                <w:color w:val="auto"/>
                <w:sz w:val="24"/>
                <w:szCs w:val="24"/>
                <w:lang w:val="en-GB"/>
              </w:rPr>
            </w:pPr>
            <w:r>
              <w:rPr>
                <w:rFonts w:ascii="Garamond" w:hAnsi="Garamond" w:eastAsiaTheme="majorEastAsia" w:cstheme="majorBidi"/>
                <w:b w:val="0"/>
                <w:bCs/>
                <w:color w:val="auto"/>
                <w:sz w:val="24"/>
                <w:szCs w:val="24"/>
                <w:lang w:val="en-GB"/>
              </w:rPr>
              <w:t>Ugandans</w:t>
            </w:r>
          </w:p>
        </w:tc>
        <w:tc>
          <w:tcPr>
            <w:tcW w:w="1044" w:type="dxa"/>
            <w:tcBorders>
              <w:top w:val="single" w:color="4F81BD" w:themeColor="accent1" w:sz="8" w:space="0"/>
              <w:bottom w:val="single" w:color="4F81BD" w:themeColor="accent1" w:sz="8" w:space="0"/>
              <w:right w:val="single" w:color="4F81BD" w:themeColor="accent1" w:sz="8" w:space="0"/>
              <w:insideH w:val="single" w:sz="8" w:space="0"/>
              <w:insideV w:val="single" w:sz="8" w:space="0"/>
            </w:tcBorders>
          </w:tcPr>
          <w:p w14:paraId="52EBAC55">
            <w:pPr>
              <w:spacing w:after="0" w:line="240" w:lineRule="auto"/>
              <w:jc w:val="both"/>
              <w:rPr>
                <w:rFonts w:ascii="Garamond" w:hAnsi="Garamond"/>
                <w:color w:val="auto"/>
                <w:sz w:val="24"/>
                <w:szCs w:val="24"/>
                <w:lang w:val="en-GB"/>
              </w:rPr>
            </w:pPr>
            <w:r>
              <w:rPr>
                <w:rFonts w:ascii="Garamond" w:hAnsi="Garamond"/>
                <w:color w:val="auto"/>
                <w:sz w:val="24"/>
                <w:szCs w:val="24"/>
                <w:lang w:val="en-GB"/>
              </w:rPr>
              <w:t>10</w:t>
            </w:r>
          </w:p>
        </w:tc>
        <w:tc>
          <w:tcPr>
            <w:tcW w:w="990" w:type="dxa"/>
            <w:tcBorders>
              <w:top w:val="single" w:color="4F81BD" w:themeColor="accent1" w:sz="8" w:space="0"/>
              <w:bottom w:val="single" w:color="4F81BD" w:themeColor="accent1" w:sz="8" w:space="0"/>
              <w:right w:val="single" w:color="4F81BD" w:themeColor="accent1" w:sz="8" w:space="0"/>
              <w:insideH w:val="single" w:sz="8" w:space="0"/>
              <w:insideV w:val="single" w:sz="8" w:space="0"/>
            </w:tcBorders>
          </w:tcPr>
          <w:p w14:paraId="0A4E7035">
            <w:pPr>
              <w:spacing w:after="0" w:line="240" w:lineRule="auto"/>
              <w:jc w:val="both"/>
              <w:rPr>
                <w:rFonts w:ascii="Garamond" w:hAnsi="Garamond"/>
                <w:color w:val="auto"/>
                <w:sz w:val="24"/>
                <w:szCs w:val="24"/>
                <w:lang w:val="en-GB"/>
              </w:rPr>
            </w:pPr>
            <w:r>
              <w:rPr>
                <w:rFonts w:ascii="Garamond" w:hAnsi="Garamond"/>
                <w:color w:val="auto"/>
                <w:sz w:val="24"/>
                <w:szCs w:val="24"/>
                <w:lang w:val="en-GB"/>
              </w:rPr>
              <w:t>2</w:t>
            </w:r>
          </w:p>
        </w:tc>
        <w:tc>
          <w:tcPr>
            <w:tcW w:w="1080" w:type="dxa"/>
            <w:tcBorders>
              <w:top w:val="single" w:color="4F81BD" w:themeColor="accent1" w:sz="8" w:space="0"/>
              <w:bottom w:val="single" w:color="4F81BD" w:themeColor="accent1" w:sz="8" w:space="0"/>
              <w:right w:val="single" w:color="4F81BD" w:themeColor="accent1" w:sz="8" w:space="0"/>
              <w:insideH w:val="single" w:sz="8" w:space="0"/>
              <w:insideV w:val="single" w:sz="8" w:space="0"/>
            </w:tcBorders>
          </w:tcPr>
          <w:p w14:paraId="63F8C859">
            <w:pPr>
              <w:spacing w:after="0" w:line="240" w:lineRule="auto"/>
              <w:jc w:val="both"/>
              <w:rPr>
                <w:rFonts w:ascii="Garamond" w:hAnsi="Garamond"/>
                <w:b/>
                <w:color w:val="auto"/>
                <w:sz w:val="24"/>
                <w:szCs w:val="24"/>
                <w:lang w:val="en-GB"/>
              </w:rPr>
            </w:pPr>
            <w:r>
              <w:rPr>
                <w:rFonts w:ascii="Garamond" w:hAnsi="Garamond"/>
                <w:b/>
                <w:color w:val="auto"/>
                <w:sz w:val="24"/>
                <w:szCs w:val="24"/>
                <w:lang w:val="en-GB"/>
              </w:rPr>
              <w:t>12</w:t>
            </w:r>
          </w:p>
        </w:tc>
      </w:tr>
      <w:tr w14:paraId="2B9546A2">
        <w:tblPrEx>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Ex>
        <w:tc>
          <w:tcPr>
            <w:tcW w:w="2988" w:type="dxa"/>
            <w:tcBorders>
              <w:top w:val="single" w:color="4F81BD" w:themeColor="accent1" w:sz="8" w:space="0"/>
              <w:left w:val="single" w:color="4F81BD" w:themeColor="accent1" w:sz="8" w:space="0"/>
              <w:bottom w:val="single" w:color="4F81BD" w:themeColor="accent1" w:sz="8" w:space="0"/>
              <w:right w:val="single" w:color="4F81BD" w:themeColor="accent1" w:sz="8" w:space="0"/>
              <w:insideH w:val="single" w:sz="8" w:space="0"/>
              <w:insideV w:val="single" w:sz="8" w:space="0"/>
            </w:tcBorders>
            <w:shd w:val="clear" w:color="auto" w:fill="D3DFEE" w:themeFill="accent1" w:themeFillTint="3F"/>
          </w:tcPr>
          <w:p w14:paraId="4E566C0F">
            <w:pPr>
              <w:spacing w:after="0" w:line="240" w:lineRule="auto"/>
              <w:jc w:val="both"/>
              <w:rPr>
                <w:rFonts w:ascii="Garamond" w:hAnsi="Garamond" w:eastAsiaTheme="majorEastAsia" w:cstheme="majorBidi"/>
                <w:b w:val="0"/>
                <w:bCs/>
                <w:color w:val="auto"/>
                <w:sz w:val="24"/>
                <w:szCs w:val="24"/>
                <w:lang w:val="en-GB"/>
              </w:rPr>
            </w:pPr>
          </w:p>
        </w:tc>
        <w:tc>
          <w:tcPr>
            <w:tcW w:w="1044" w:type="dxa"/>
            <w:tcBorders>
              <w:top w:val="single" w:color="4F81BD" w:themeColor="accent1" w:sz="8" w:space="0"/>
              <w:bottom w:val="single" w:color="4F81BD" w:themeColor="accent1" w:sz="8" w:space="0"/>
              <w:right w:val="single" w:color="4F81BD" w:themeColor="accent1" w:sz="8" w:space="0"/>
              <w:insideH w:val="single" w:sz="8" w:space="0"/>
              <w:insideV w:val="single" w:sz="8" w:space="0"/>
            </w:tcBorders>
            <w:shd w:val="clear" w:color="auto" w:fill="D3DFEE" w:themeFill="accent1" w:themeFillTint="3F"/>
          </w:tcPr>
          <w:p w14:paraId="2E088A2A">
            <w:pPr>
              <w:spacing w:after="0" w:line="240" w:lineRule="auto"/>
              <w:jc w:val="both"/>
              <w:rPr>
                <w:rFonts w:ascii="Garamond" w:hAnsi="Garamond"/>
                <w:b/>
                <w:color w:val="auto"/>
                <w:sz w:val="24"/>
                <w:szCs w:val="24"/>
                <w:lang w:val="en-GB"/>
              </w:rPr>
            </w:pPr>
            <w:r>
              <w:rPr>
                <w:rFonts w:ascii="Garamond" w:hAnsi="Garamond"/>
                <w:b/>
                <w:color w:val="auto"/>
                <w:sz w:val="24"/>
                <w:szCs w:val="24"/>
                <w:lang w:val="en-GB"/>
              </w:rPr>
              <w:t>21</w:t>
            </w:r>
          </w:p>
        </w:tc>
        <w:tc>
          <w:tcPr>
            <w:tcW w:w="990" w:type="dxa"/>
            <w:tcBorders>
              <w:top w:val="single" w:color="4F81BD" w:themeColor="accent1" w:sz="8" w:space="0"/>
              <w:bottom w:val="single" w:color="4F81BD" w:themeColor="accent1" w:sz="8" w:space="0"/>
              <w:right w:val="single" w:color="4F81BD" w:themeColor="accent1" w:sz="8" w:space="0"/>
              <w:insideH w:val="single" w:sz="8" w:space="0"/>
              <w:insideV w:val="single" w:sz="8" w:space="0"/>
            </w:tcBorders>
            <w:shd w:val="clear" w:color="auto" w:fill="D3DFEE" w:themeFill="accent1" w:themeFillTint="3F"/>
          </w:tcPr>
          <w:p w14:paraId="6769D0BE">
            <w:pPr>
              <w:spacing w:after="0" w:line="240" w:lineRule="auto"/>
              <w:jc w:val="both"/>
              <w:rPr>
                <w:rFonts w:ascii="Garamond" w:hAnsi="Garamond"/>
                <w:b/>
                <w:color w:val="auto"/>
                <w:sz w:val="24"/>
                <w:szCs w:val="24"/>
                <w:lang w:val="en-GB"/>
              </w:rPr>
            </w:pPr>
            <w:r>
              <w:rPr>
                <w:rFonts w:ascii="Garamond" w:hAnsi="Garamond"/>
                <w:b/>
                <w:color w:val="auto"/>
                <w:sz w:val="24"/>
                <w:szCs w:val="24"/>
                <w:lang w:val="en-GB"/>
              </w:rPr>
              <w:t>9</w:t>
            </w:r>
          </w:p>
        </w:tc>
        <w:tc>
          <w:tcPr>
            <w:tcW w:w="1080" w:type="dxa"/>
            <w:tcBorders>
              <w:top w:val="single" w:color="4F81BD" w:themeColor="accent1" w:sz="8" w:space="0"/>
              <w:bottom w:val="single" w:color="4F81BD" w:themeColor="accent1" w:sz="8" w:space="0"/>
              <w:right w:val="single" w:color="4F81BD" w:themeColor="accent1" w:sz="8" w:space="0"/>
              <w:insideH w:val="single" w:sz="8" w:space="0"/>
              <w:insideV w:val="single" w:sz="8" w:space="0"/>
            </w:tcBorders>
            <w:shd w:val="clear" w:color="auto" w:fill="D3DFEE" w:themeFill="accent1" w:themeFillTint="3F"/>
          </w:tcPr>
          <w:p w14:paraId="2CAFF4AE">
            <w:pPr>
              <w:spacing w:after="0" w:line="240" w:lineRule="auto"/>
              <w:jc w:val="both"/>
              <w:rPr>
                <w:rFonts w:ascii="Garamond" w:hAnsi="Garamond"/>
                <w:b/>
                <w:color w:val="auto"/>
                <w:sz w:val="24"/>
                <w:szCs w:val="24"/>
                <w:lang w:val="en-GB"/>
              </w:rPr>
            </w:pPr>
            <w:r>
              <w:rPr>
                <w:rFonts w:ascii="Garamond" w:hAnsi="Garamond"/>
                <w:b/>
                <w:color w:val="auto"/>
                <w:sz w:val="24"/>
                <w:szCs w:val="24"/>
                <w:lang w:val="en-GB"/>
              </w:rPr>
              <w:t>30</w:t>
            </w:r>
          </w:p>
        </w:tc>
      </w:tr>
    </w:tbl>
    <w:p w14:paraId="49EAB134">
      <w:pPr>
        <w:pStyle w:val="2"/>
        <w:numPr>
          <w:ilvl w:val="0"/>
          <w:numId w:val="1"/>
        </w:numPr>
      </w:pPr>
      <w:bookmarkStart w:id="5" w:name="_Toc170812607"/>
      <w:r>
        <w:t>Opening Session</w:t>
      </w:r>
      <w:bookmarkEnd w:id="5"/>
    </w:p>
    <w:p w14:paraId="18BA7C9B">
      <w:pPr>
        <w:spacing w:after="0" w:line="240" w:lineRule="auto"/>
        <w:jc w:val="both"/>
        <w:rPr>
          <w:rFonts w:ascii="Garamond" w:hAnsi="Garamond"/>
          <w:sz w:val="24"/>
          <w:szCs w:val="24"/>
        </w:rPr>
      </w:pPr>
    </w:p>
    <w:p w14:paraId="082C3C95">
      <w:pPr>
        <w:spacing w:after="200" w:line="276" w:lineRule="auto"/>
        <w:rPr>
          <w:rFonts w:ascii="Garamond" w:hAnsi="Garamond"/>
          <w:sz w:val="24"/>
          <w:szCs w:val="24"/>
        </w:rPr>
      </w:pPr>
      <w:r>
        <w:rPr>
          <w:rFonts w:ascii="Garamond" w:hAnsi="Garamond"/>
          <w:sz w:val="24"/>
          <w:szCs w:val="24"/>
        </w:rPr>
        <w:t>The event commenced with an overview of objectives. Participants were introduced, including city officials, NGO representatives, and refugee community leaders. The agenda and objectives for the day were presented by the PLAVU Programme Manager.</w:t>
      </w:r>
    </w:p>
    <w:p w14:paraId="3ED83380">
      <w:pPr>
        <w:pStyle w:val="2"/>
        <w:numPr>
          <w:ilvl w:val="0"/>
          <w:numId w:val="1"/>
        </w:numPr>
        <w:spacing w:line="240" w:lineRule="auto"/>
        <w:jc w:val="both"/>
        <w:rPr>
          <w:rFonts w:ascii="Garamond" w:hAnsi="Garamond"/>
          <w:sz w:val="24"/>
          <w:szCs w:val="24"/>
        </w:rPr>
      </w:pPr>
      <w:bookmarkStart w:id="6" w:name="_Toc170812608"/>
      <w:r>
        <w:rPr>
          <w:b w:val="0"/>
        </w:rPr>
        <w:t>Session 1:</w:t>
      </w:r>
      <w:r>
        <w:tab/>
      </w:r>
      <w:r>
        <w:t>Plenary Discussion on City Pledges</w:t>
      </w:r>
      <w:bookmarkEnd w:id="6"/>
    </w:p>
    <w:p w14:paraId="1DF524B1">
      <w:pPr>
        <w:spacing w:after="0" w:line="240" w:lineRule="auto"/>
        <w:jc w:val="both"/>
        <w:rPr>
          <w:rFonts w:ascii="Garamond" w:hAnsi="Garamond"/>
          <w:bCs/>
          <w:sz w:val="24"/>
          <w:szCs w:val="24"/>
        </w:rPr>
      </w:pPr>
      <w:r>
        <w:rPr>
          <w:rFonts w:ascii="Garamond" w:hAnsi="Garamond"/>
          <w:bCs/>
          <w:sz w:val="24"/>
          <w:szCs w:val="24"/>
        </w:rPr>
        <w:t xml:space="preserve">PLAVU Executive Director presented city pledges related to refugee integration. Participants engaged in a Q&amp;A session to clarify commitments and explore potential synergies. </w:t>
      </w:r>
    </w:p>
    <w:p w14:paraId="323B2355">
      <w:pPr>
        <w:spacing w:after="0" w:line="240" w:lineRule="auto"/>
        <w:jc w:val="center"/>
        <w:rPr>
          <w:rFonts w:ascii="Garamond" w:hAnsi="Garamond"/>
          <w:sz w:val="24"/>
          <w:szCs w:val="24"/>
        </w:rPr>
      </w:pPr>
      <w:r>
        <w:rPr>
          <w:rFonts w:ascii="Garamond" w:hAnsi="Garamond"/>
          <w:sz w:val="24"/>
          <w:szCs w:val="24"/>
        </w:rPr>
        <w:drawing>
          <wp:inline distT="0" distB="0" distL="0" distR="0">
            <wp:extent cx="4152900" cy="48494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t="7259" b="9762"/>
                    <a:stretch>
                      <a:fillRect/>
                    </a:stretch>
                  </pic:blipFill>
                  <pic:spPr>
                    <a:xfrm>
                      <a:off x="0" y="0"/>
                      <a:ext cx="4157114" cy="4854830"/>
                    </a:xfrm>
                    <a:prstGeom prst="rect">
                      <a:avLst/>
                    </a:prstGeom>
                    <a:noFill/>
                    <a:ln>
                      <a:noFill/>
                    </a:ln>
                  </pic:spPr>
                </pic:pic>
              </a:graphicData>
            </a:graphic>
          </wp:inline>
        </w:drawing>
      </w:r>
    </w:p>
    <w:p w14:paraId="55075AC0">
      <w:pPr>
        <w:spacing w:after="0" w:line="240" w:lineRule="auto"/>
        <w:jc w:val="both"/>
        <w:rPr>
          <w:rFonts w:ascii="Garamond" w:hAnsi="Garamond"/>
          <w:sz w:val="24"/>
          <w:szCs w:val="24"/>
        </w:rPr>
      </w:pPr>
    </w:p>
    <w:p w14:paraId="10ED9A4F">
      <w:pPr>
        <w:spacing w:after="0" w:line="240" w:lineRule="auto"/>
        <w:jc w:val="both"/>
        <w:rPr>
          <w:rFonts w:ascii="Garamond" w:hAnsi="Garamond"/>
          <w:sz w:val="24"/>
          <w:szCs w:val="24"/>
        </w:rPr>
      </w:pPr>
    </w:p>
    <w:p w14:paraId="6138EC5D">
      <w:pPr>
        <w:spacing w:after="0" w:line="240" w:lineRule="auto"/>
        <w:jc w:val="both"/>
        <w:rPr>
          <w:rFonts w:ascii="Garamond" w:hAnsi="Garamond"/>
          <w:sz w:val="24"/>
          <w:szCs w:val="24"/>
        </w:rPr>
      </w:pPr>
      <w:r>
        <w:rPr>
          <w:rFonts w:ascii="Garamond" w:hAnsi="Garamond"/>
          <w:bCs/>
          <w:sz w:val="24"/>
          <w:szCs w:val="24"/>
        </w:rPr>
        <w:t>This session enhanced understanding of city pledges and alignment with GRF commitments. City representatives and the event facilitator led the discussion.</w:t>
      </w:r>
    </w:p>
    <w:p w14:paraId="65276439">
      <w:pPr>
        <w:pStyle w:val="2"/>
        <w:numPr>
          <w:ilvl w:val="0"/>
          <w:numId w:val="1"/>
        </w:numPr>
      </w:pPr>
      <w:bookmarkStart w:id="7" w:name="_Toc170812609"/>
      <w:r>
        <w:rPr>
          <w:b w:val="0"/>
        </w:rPr>
        <w:t xml:space="preserve">Session 2: </w:t>
      </w:r>
      <w:r>
        <w:t>Breakout Sessions</w:t>
      </w:r>
      <w:bookmarkEnd w:id="7"/>
    </w:p>
    <w:p w14:paraId="7027F48C">
      <w:pPr>
        <w:spacing w:after="0" w:line="240" w:lineRule="auto"/>
        <w:jc w:val="both"/>
        <w:rPr>
          <w:rFonts w:ascii="Garamond" w:hAnsi="Garamond"/>
          <w:sz w:val="24"/>
          <w:szCs w:val="24"/>
        </w:rPr>
      </w:pPr>
    </w:p>
    <w:p w14:paraId="7E5DC1EE">
      <w:pPr>
        <w:spacing w:after="0" w:line="240" w:lineRule="auto"/>
        <w:jc w:val="both"/>
        <w:rPr>
          <w:rFonts w:ascii="Garamond" w:hAnsi="Garamond"/>
          <w:bCs/>
          <w:sz w:val="24"/>
          <w:szCs w:val="24"/>
        </w:rPr>
      </w:pPr>
      <w:r>
        <w:rPr>
          <w:rFonts w:ascii="Garamond" w:hAnsi="Garamond"/>
          <w:bCs/>
          <w:sz w:val="24"/>
          <w:szCs w:val="24"/>
        </w:rPr>
        <w:t xml:space="preserve">During the round table dialogue, participants engaged in focused discussions within smaller groups, each dedicated to key thematic areas: institutionalizing refugee access, enhancing integration, and promoting socio-economic solutions. These sessions were crucial in identifying actionable strategies tailored to the local context. As one participant noted, </w:t>
      </w:r>
    </w:p>
    <w:p w14:paraId="2C3B42F7">
      <w:pPr>
        <w:spacing w:after="0" w:line="240" w:lineRule="auto"/>
        <w:jc w:val="both"/>
        <w:rPr>
          <w:rFonts w:ascii="Garamond" w:hAnsi="Garamond"/>
          <w:bCs/>
          <w:sz w:val="24"/>
          <w:szCs w:val="24"/>
        </w:rPr>
      </w:pPr>
    </w:p>
    <w:p w14:paraId="44807AF2">
      <w:pPr>
        <w:spacing w:after="0" w:line="240" w:lineRule="auto"/>
        <w:ind w:left="720"/>
        <w:jc w:val="both"/>
        <w:rPr>
          <w:rFonts w:ascii="Garamond" w:hAnsi="Garamond"/>
          <w:bCs/>
          <w:i/>
          <w:sz w:val="24"/>
          <w:szCs w:val="24"/>
        </w:rPr>
      </w:pPr>
      <w:r>
        <w:rPr>
          <w:rFonts w:ascii="Garamond" w:hAnsi="Garamond"/>
          <w:bCs/>
          <w:i/>
          <w:sz w:val="24"/>
          <w:szCs w:val="24"/>
        </w:rPr>
        <w:t xml:space="preserve">"The discussions allowed us to pinpoint specific ways to integrate refugee needs into our city's budgeting and planning cycles, ensuring their voices are heard." </w:t>
      </w:r>
    </w:p>
    <w:p w14:paraId="078A5085">
      <w:pPr>
        <w:spacing w:after="0" w:line="240" w:lineRule="auto"/>
        <w:jc w:val="both"/>
        <w:rPr>
          <w:rFonts w:ascii="Garamond" w:hAnsi="Garamond"/>
          <w:bCs/>
          <w:sz w:val="24"/>
          <w:szCs w:val="24"/>
        </w:rPr>
      </w:pPr>
    </w:p>
    <w:p w14:paraId="4ABBCFFC">
      <w:pPr>
        <w:spacing w:after="0" w:line="240" w:lineRule="auto"/>
        <w:jc w:val="both"/>
        <w:rPr>
          <w:rFonts w:ascii="Garamond" w:hAnsi="Garamond"/>
          <w:bCs/>
          <w:sz w:val="24"/>
          <w:szCs w:val="24"/>
        </w:rPr>
      </w:pPr>
      <w:r>
        <w:rPr>
          <w:rFonts w:ascii="Garamond" w:hAnsi="Garamond"/>
          <w:bCs/>
          <w:sz w:val="24"/>
          <w:szCs w:val="24"/>
        </w:rPr>
        <w:t>Facilitators played a pivotal role in guiding these deliberations, ensuring that strategies were not only innovative but also feasible within Kampala's administrative framework.</w:t>
      </w:r>
    </w:p>
    <w:p w14:paraId="767E3B01">
      <w:pPr>
        <w:spacing w:after="0" w:line="240" w:lineRule="auto"/>
        <w:jc w:val="both"/>
        <w:rPr>
          <w:rFonts w:ascii="Garamond" w:hAnsi="Garamond"/>
          <w:bCs/>
          <w:sz w:val="24"/>
          <w:szCs w:val="24"/>
        </w:rPr>
      </w:pPr>
      <w:r>
        <w:rPr>
          <w:rFonts w:ascii="Garamond" w:hAnsi="Garamond"/>
          <w:bCs/>
          <w:sz w:val="24"/>
          <w:szCs w:val="24"/>
        </w:rPr>
        <w:t xml:space="preserve">Throughout the breakout sessions, facilitators and group leaders meticulously documented the strategies and action plans emerging from each thematic area. This systematic approach was highlighted by another participant who remarked, </w:t>
      </w:r>
    </w:p>
    <w:p w14:paraId="1CE3FDCD">
      <w:pPr>
        <w:spacing w:after="0" w:line="240" w:lineRule="auto"/>
        <w:jc w:val="both"/>
        <w:rPr>
          <w:rFonts w:ascii="Garamond" w:hAnsi="Garamond"/>
          <w:bCs/>
          <w:sz w:val="24"/>
          <w:szCs w:val="24"/>
        </w:rPr>
      </w:pPr>
    </w:p>
    <w:p w14:paraId="61E24747">
      <w:pPr>
        <w:spacing w:after="0" w:line="240" w:lineRule="auto"/>
        <w:ind w:left="720"/>
        <w:jc w:val="both"/>
        <w:rPr>
          <w:rFonts w:ascii="Garamond" w:hAnsi="Garamond"/>
          <w:bCs/>
          <w:i/>
          <w:sz w:val="24"/>
          <w:szCs w:val="24"/>
        </w:rPr>
      </w:pPr>
      <w:r>
        <w:rPr>
          <w:rFonts w:ascii="Garamond" w:hAnsi="Garamond"/>
          <w:bCs/>
          <w:i/>
          <w:sz w:val="24"/>
          <w:szCs w:val="24"/>
        </w:rPr>
        <w:t xml:space="preserve">"It was inspiring to see how diverse stakeholders came together to develop concrete plans for improving refugee access to essential services and fostering greater socio-economic opportunities." </w:t>
      </w:r>
    </w:p>
    <w:p w14:paraId="5B61330F">
      <w:pPr>
        <w:spacing w:after="0" w:line="240" w:lineRule="auto"/>
        <w:jc w:val="both"/>
        <w:rPr>
          <w:rFonts w:ascii="Garamond" w:hAnsi="Garamond"/>
          <w:bCs/>
          <w:sz w:val="24"/>
          <w:szCs w:val="24"/>
        </w:rPr>
      </w:pPr>
    </w:p>
    <w:p w14:paraId="433C3F70">
      <w:pPr>
        <w:spacing w:after="0" w:line="240" w:lineRule="auto"/>
        <w:jc w:val="both"/>
        <w:rPr>
          <w:rFonts w:ascii="Garamond" w:hAnsi="Garamond"/>
          <w:bCs/>
          <w:sz w:val="24"/>
          <w:szCs w:val="24"/>
        </w:rPr>
      </w:pPr>
      <w:r>
        <w:rPr>
          <w:rFonts w:ascii="Garamond" w:hAnsi="Garamond"/>
          <w:bCs/>
          <w:sz w:val="24"/>
          <w:szCs w:val="24"/>
        </w:rPr>
        <w:t>The involvement of urban refugees in division-level budget conferences emerged as a particularly promising initiative, underscoring the dialogue's commitment to inclusive decision-making and sustainable urban development.</w:t>
      </w:r>
    </w:p>
    <w:p w14:paraId="0232C3E1">
      <w:pPr>
        <w:spacing w:after="0" w:line="240" w:lineRule="auto"/>
        <w:jc w:val="both"/>
        <w:rPr>
          <w:rFonts w:ascii="Garamond" w:hAnsi="Garamond"/>
          <w:bCs/>
          <w:sz w:val="24"/>
          <w:szCs w:val="24"/>
        </w:rPr>
      </w:pPr>
      <w:r>
        <w:rPr>
          <w:rFonts w:ascii="Garamond" w:hAnsi="Garamond"/>
          <w:bCs/>
          <w:sz w:val="24"/>
          <w:szCs w:val="24"/>
        </w:rPr>
        <w:t>A third participant emphasized,</w:t>
      </w:r>
    </w:p>
    <w:p w14:paraId="74FA0573">
      <w:pPr>
        <w:spacing w:after="0" w:line="240" w:lineRule="auto"/>
        <w:jc w:val="both"/>
        <w:rPr>
          <w:rFonts w:ascii="Garamond" w:hAnsi="Garamond"/>
          <w:bCs/>
          <w:sz w:val="24"/>
          <w:szCs w:val="24"/>
        </w:rPr>
      </w:pPr>
    </w:p>
    <w:p w14:paraId="5B49C7C0">
      <w:pPr>
        <w:spacing w:after="0" w:line="240" w:lineRule="auto"/>
        <w:ind w:left="720"/>
        <w:jc w:val="both"/>
        <w:rPr>
          <w:rFonts w:ascii="Garamond" w:hAnsi="Garamond"/>
          <w:bCs/>
          <w:i/>
          <w:sz w:val="24"/>
          <w:szCs w:val="24"/>
        </w:rPr>
      </w:pPr>
      <w:r>
        <w:rPr>
          <w:rFonts w:ascii="Garamond" w:hAnsi="Garamond"/>
          <w:bCs/>
          <w:i/>
          <w:sz w:val="24"/>
          <w:szCs w:val="24"/>
        </w:rPr>
        <w:t xml:space="preserve">"The dialogue provided a platform for open exchange, where we could address challenges and explore opportunities collaboratively. This collaborative approach ensures that our efforts are not only impactful but also sustainable, benefiting both refugees and host communities." </w:t>
      </w:r>
    </w:p>
    <w:p w14:paraId="18AE317E">
      <w:pPr>
        <w:spacing w:after="0" w:line="240" w:lineRule="auto"/>
        <w:jc w:val="both"/>
        <w:rPr>
          <w:rFonts w:ascii="Garamond" w:hAnsi="Garamond"/>
          <w:bCs/>
          <w:sz w:val="24"/>
          <w:szCs w:val="24"/>
        </w:rPr>
      </w:pPr>
    </w:p>
    <w:p w14:paraId="26F4EC5F">
      <w:pPr>
        <w:spacing w:after="0" w:line="240" w:lineRule="auto"/>
        <w:jc w:val="both"/>
        <w:rPr>
          <w:rFonts w:ascii="Garamond" w:hAnsi="Garamond"/>
          <w:bCs/>
          <w:sz w:val="24"/>
          <w:szCs w:val="24"/>
        </w:rPr>
      </w:pPr>
      <w:r>
        <w:rPr>
          <w:rFonts w:ascii="Garamond" w:hAnsi="Garamond"/>
          <w:bCs/>
          <w:sz w:val="24"/>
          <w:szCs w:val="24"/>
        </w:rPr>
        <w:t>This sentiment reflects the dialogue's success in fostering consensus and outlining practical steps towards realizing shared goals of integration and empowerment in urban settings.</w:t>
      </w:r>
    </w:p>
    <w:p w14:paraId="00FD71F1">
      <w:pPr>
        <w:pStyle w:val="2"/>
        <w:numPr>
          <w:ilvl w:val="0"/>
          <w:numId w:val="1"/>
        </w:numPr>
        <w:spacing w:line="240" w:lineRule="auto"/>
        <w:jc w:val="both"/>
        <w:rPr>
          <w:rFonts w:ascii="Garamond" w:hAnsi="Garamond"/>
          <w:sz w:val="24"/>
          <w:szCs w:val="24"/>
          <w:lang w:val="en-GB"/>
        </w:rPr>
      </w:pPr>
      <w:bookmarkStart w:id="8" w:name="_Toc170812610"/>
      <w:r>
        <w:t>Session 3:</w:t>
      </w:r>
      <w:r>
        <w:tab/>
      </w:r>
      <w:r>
        <w:t>Plenary Session and Wrap-Up</w:t>
      </w:r>
      <w:bookmarkEnd w:id="8"/>
    </w:p>
    <w:p w14:paraId="0ADBF192">
      <w:pPr>
        <w:spacing w:after="0" w:line="240" w:lineRule="auto"/>
        <w:jc w:val="both"/>
        <w:rPr>
          <w:rFonts w:ascii="Garamond" w:hAnsi="Garamond"/>
          <w:sz w:val="24"/>
          <w:szCs w:val="24"/>
        </w:rPr>
      </w:pPr>
    </w:p>
    <w:p w14:paraId="574ABE40">
      <w:pPr>
        <w:spacing w:after="0" w:line="240" w:lineRule="auto"/>
        <w:jc w:val="both"/>
        <w:rPr>
          <w:rFonts w:ascii="Garamond" w:hAnsi="Garamond"/>
          <w:sz w:val="24"/>
          <w:szCs w:val="24"/>
        </w:rPr>
      </w:pPr>
      <w:r>
        <w:rPr>
          <w:rFonts w:ascii="Garamond" w:hAnsi="Garamond"/>
          <w:sz w:val="24"/>
          <w:szCs w:val="24"/>
        </w:rPr>
        <w:t>Groups reconvened to report back on breakout session outcomes. Key stakeholders agreed on next steps and commitments to advance implementation of city pledges, including commitments from urban city divisions to involve urban refugees in attending division-level budget conferences. Closing remarks highlighted contributions and encouraged continued collaboration. Group leaders and the event facilitator consolidated action points and commitments.</w:t>
      </w:r>
    </w:p>
    <w:p w14:paraId="5BEB6CAE">
      <w:pPr>
        <w:spacing w:after="0" w:line="240" w:lineRule="auto"/>
        <w:jc w:val="both"/>
        <w:rPr>
          <w:rFonts w:ascii="Garamond" w:hAnsi="Garamond"/>
          <w:b/>
          <w:sz w:val="24"/>
          <w:szCs w:val="24"/>
        </w:rPr>
      </w:pPr>
    </w:p>
    <w:p w14:paraId="75943AFD">
      <w:pPr>
        <w:spacing w:after="0" w:line="240" w:lineRule="auto"/>
        <w:jc w:val="both"/>
        <w:rPr>
          <w:rFonts w:ascii="Garamond" w:hAnsi="Garamond"/>
          <w:sz w:val="24"/>
          <w:szCs w:val="24"/>
        </w:rPr>
      </w:pPr>
      <w:r>
        <w:rPr>
          <w:rFonts w:ascii="Garamond" w:hAnsi="Garamond"/>
          <w:sz w:val="24"/>
          <w:szCs w:val="24"/>
        </w:rPr>
        <w:t>During the round table dialogue, one group proposed the establishment of dedicated departments within city administration for refugee liaison and coordination. They emphasized the importance of integrating policies across city departments to ensure equitable access to essential services for refugees. This initiative aims to enhance refugee participation in city planning and decision-making processes, fostering social integration and community engagement (Round Table Dialogue Summary, May 2024).</w:t>
      </w:r>
    </w:p>
    <w:p w14:paraId="68B148AA">
      <w:pPr>
        <w:spacing w:after="0" w:line="240" w:lineRule="auto"/>
        <w:jc w:val="both"/>
        <w:rPr>
          <w:rFonts w:ascii="Garamond" w:hAnsi="Garamond"/>
          <w:sz w:val="24"/>
          <w:szCs w:val="24"/>
        </w:rPr>
      </w:pPr>
    </w:p>
    <w:p w14:paraId="1A2C4561">
      <w:pPr>
        <w:spacing w:after="0" w:line="240" w:lineRule="auto"/>
        <w:jc w:val="both"/>
        <w:rPr>
          <w:rFonts w:ascii="Garamond" w:hAnsi="Garamond"/>
          <w:sz w:val="24"/>
          <w:szCs w:val="24"/>
        </w:rPr>
      </w:pPr>
      <w:r>
        <w:rPr>
          <w:rFonts w:ascii="Garamond" w:hAnsi="Garamond"/>
          <w:sz w:val="24"/>
          <w:szCs w:val="24"/>
        </w:rPr>
        <w:t>Another group focused on fostering social cohesion through comprehensive integration strategies. They suggested conducting baseline surveys to better understand the demographics and needs of refugee populations across urban divisions. Additionally, they advocated for the establishment of division-level monitoring mechanisms to track progress and address challenges in service delivery to refugees. These initiatives are critical in promoting inclusive communities and ensuring effective support for refugees in Kampala (Round Table Dialogue Summary, May 2024).</w:t>
      </w:r>
    </w:p>
    <w:p w14:paraId="36F1D52E">
      <w:pPr>
        <w:spacing w:after="0" w:line="240" w:lineRule="auto"/>
        <w:jc w:val="both"/>
        <w:rPr>
          <w:rFonts w:ascii="Garamond" w:hAnsi="Garamond"/>
          <w:sz w:val="24"/>
          <w:szCs w:val="24"/>
        </w:rPr>
      </w:pPr>
    </w:p>
    <w:p w14:paraId="7DBF6FE4">
      <w:pPr>
        <w:spacing w:after="0" w:line="240" w:lineRule="auto"/>
        <w:jc w:val="both"/>
        <w:rPr>
          <w:rFonts w:ascii="Garamond" w:hAnsi="Garamond"/>
          <w:sz w:val="24"/>
          <w:szCs w:val="24"/>
        </w:rPr>
      </w:pPr>
      <w:r>
        <w:rPr>
          <w:rFonts w:ascii="Garamond" w:hAnsi="Garamond"/>
          <w:sz w:val="24"/>
          <w:szCs w:val="24"/>
        </w:rPr>
        <w:t>Furthermore, a third group outlined strategies for promoting socio-economic solutions for refugees. They proposed developing training programs for local officials to enhance their capacity in supporting refugee integration efforts. Additionally, they emphasized the importance of forging partnerships with NGOs, international organizations, and the private sector to provide resources and expertise for refugee-focused initiatives. Advocating for policy reforms at local and national levels to remove barriers hindering refugee access to socio-economic opportunities was also a key focus of their action plan (Round Table Dialogue Summary, May 2024).</w:t>
      </w:r>
    </w:p>
    <w:p w14:paraId="2031F15F">
      <w:pPr>
        <w:spacing w:after="0" w:line="240" w:lineRule="auto"/>
        <w:jc w:val="both"/>
        <w:rPr>
          <w:rFonts w:ascii="Garamond" w:hAnsi="Garamond"/>
          <w:sz w:val="24"/>
          <w:szCs w:val="24"/>
        </w:rPr>
      </w:pPr>
    </w:p>
    <w:p w14:paraId="13D9CEE9">
      <w:pPr>
        <w:spacing w:after="0" w:line="240" w:lineRule="auto"/>
        <w:jc w:val="both"/>
        <w:rPr>
          <w:rFonts w:ascii="Garamond" w:hAnsi="Garamond"/>
          <w:b/>
          <w:sz w:val="24"/>
          <w:szCs w:val="24"/>
        </w:rPr>
      </w:pPr>
    </w:p>
    <w:p w14:paraId="390108D8">
      <w:pPr>
        <w:spacing w:after="0" w:line="240" w:lineRule="auto"/>
        <w:ind w:left="360"/>
        <w:jc w:val="both"/>
        <w:rPr>
          <w:rFonts w:ascii="Garamond" w:hAnsi="Garamond"/>
          <w:b/>
          <w:sz w:val="24"/>
          <w:szCs w:val="24"/>
          <w:lang w:val="en-GB"/>
        </w:rPr>
      </w:pPr>
    </w:p>
    <w:p w14:paraId="12EFFC8F">
      <w:pPr>
        <w:spacing w:after="0" w:line="240" w:lineRule="auto"/>
        <w:ind w:left="360"/>
        <w:jc w:val="both"/>
        <w:rPr>
          <w:rFonts w:ascii="Garamond" w:hAnsi="Garamond"/>
          <w:b/>
          <w:sz w:val="24"/>
          <w:szCs w:val="24"/>
          <w:lang w:val="en-GB"/>
        </w:rPr>
      </w:pPr>
      <w:r>
        <w:drawing>
          <wp:inline distT="0" distB="0" distL="0" distR="0">
            <wp:extent cx="5943600" cy="4458335"/>
            <wp:effectExtent l="0" t="0" r="0" b="0"/>
            <wp:docPr id="7" name="Picture 7" descr="C:\Users\Andrewlap\AppData\Local\Microsoft\Windows\INetCache\Content.Word\IMG_20240320_125748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Andrewlap\AppData\Local\Microsoft\Windows\INetCache\Content.Word\IMG_20240320_125748_01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943600" cy="4458861"/>
                    </a:xfrm>
                    <a:prstGeom prst="rect">
                      <a:avLst/>
                    </a:prstGeom>
                    <a:noFill/>
                    <a:ln>
                      <a:noFill/>
                    </a:ln>
                  </pic:spPr>
                </pic:pic>
              </a:graphicData>
            </a:graphic>
          </wp:inline>
        </w:drawing>
      </w:r>
    </w:p>
    <w:p w14:paraId="369F9A4A">
      <w:pPr>
        <w:spacing w:after="0" w:line="240" w:lineRule="auto"/>
        <w:ind w:left="360"/>
        <w:jc w:val="both"/>
        <w:rPr>
          <w:rFonts w:ascii="Garamond" w:hAnsi="Garamond"/>
          <w:sz w:val="24"/>
          <w:szCs w:val="24"/>
          <w:lang w:val="en-GB"/>
        </w:rPr>
      </w:pPr>
      <w:r>
        <w:rPr>
          <w:rFonts w:ascii="Garamond" w:hAnsi="Garamond"/>
          <w:color w:val="0070C0"/>
          <w:szCs w:val="24"/>
          <w:lang w:val="en-GB"/>
        </w:rPr>
        <w:t>Group members comprising of Makindye and Nakawa representatives</w:t>
      </w:r>
      <w:r>
        <w:rPr>
          <w:rFonts w:ascii="Garamond" w:hAnsi="Garamond"/>
          <w:sz w:val="24"/>
          <w:szCs w:val="24"/>
          <w:lang w:val="en-GB"/>
        </w:rPr>
        <w:t xml:space="preserve"> </w:t>
      </w:r>
    </w:p>
    <w:p w14:paraId="10066DFF">
      <w:pPr>
        <w:spacing w:after="0" w:line="240" w:lineRule="auto"/>
        <w:jc w:val="both"/>
        <w:rPr>
          <w:rFonts w:ascii="Garamond" w:hAnsi="Garamond"/>
          <w:sz w:val="24"/>
          <w:szCs w:val="24"/>
          <w:lang w:val="en-GB"/>
        </w:rPr>
      </w:pPr>
    </w:p>
    <w:p w14:paraId="3F256F14">
      <w:pPr>
        <w:spacing w:after="0" w:line="240" w:lineRule="auto"/>
        <w:rPr>
          <w:rFonts w:ascii="Garamond" w:hAnsi="Garamond"/>
        </w:rPr>
      </w:pPr>
      <w:r>
        <w:rPr>
          <w:rFonts w:ascii="Garamond" w:hAnsi="Garamond"/>
          <w:b/>
          <w:bCs/>
        </w:rPr>
        <w:t>Next Steps:</w:t>
      </w:r>
    </w:p>
    <w:p w14:paraId="5018D17D">
      <w:pPr>
        <w:numPr>
          <w:ilvl w:val="0"/>
          <w:numId w:val="3"/>
        </w:numPr>
        <w:spacing w:after="0" w:line="240" w:lineRule="auto"/>
        <w:rPr>
          <w:rFonts w:ascii="Garamond" w:hAnsi="Garamond"/>
        </w:rPr>
      </w:pPr>
      <w:r>
        <w:rPr>
          <w:rFonts w:ascii="Garamond" w:hAnsi="Garamond"/>
          <w:b/>
          <w:bCs/>
        </w:rPr>
        <w:t>Documentation:</w:t>
      </w:r>
      <w:r>
        <w:rPr>
          <w:rFonts w:ascii="Garamond" w:hAnsi="Garamond"/>
        </w:rPr>
        <w:t xml:space="preserve"> Compile detailed minutes and outcomes from discussions, including action points and responsibilities, to create a comprehensive record of agreements and decisions made during the dialogues.</w:t>
      </w:r>
    </w:p>
    <w:p w14:paraId="79CE1ABE">
      <w:pPr>
        <w:numPr>
          <w:ilvl w:val="0"/>
          <w:numId w:val="3"/>
        </w:numPr>
        <w:spacing w:after="0" w:line="240" w:lineRule="auto"/>
        <w:rPr>
          <w:rFonts w:ascii="Garamond" w:hAnsi="Garamond"/>
        </w:rPr>
      </w:pPr>
      <w:r>
        <w:rPr>
          <w:rFonts w:ascii="Garamond" w:hAnsi="Garamond"/>
          <w:b/>
          <w:bCs/>
        </w:rPr>
        <w:t>Reporting:</w:t>
      </w:r>
      <w:r>
        <w:rPr>
          <w:rFonts w:ascii="Garamond" w:hAnsi="Garamond"/>
        </w:rPr>
        <w:t xml:space="preserve"> Share the comprehensive report with participants for feedback and endorsement to ensure all stakeholders are aligned and supportive of the agreed-upon strategies.</w:t>
      </w:r>
    </w:p>
    <w:p w14:paraId="02D925BA">
      <w:pPr>
        <w:numPr>
          <w:ilvl w:val="0"/>
          <w:numId w:val="3"/>
        </w:numPr>
        <w:spacing w:after="0" w:line="240" w:lineRule="auto"/>
        <w:rPr>
          <w:rFonts w:ascii="Garamond" w:hAnsi="Garamond"/>
        </w:rPr>
      </w:pPr>
      <w:r>
        <w:rPr>
          <w:rFonts w:ascii="Garamond" w:hAnsi="Garamond"/>
          <w:b/>
          <w:bCs/>
        </w:rPr>
        <w:t>Implementation Planning:</w:t>
      </w:r>
      <w:r>
        <w:rPr>
          <w:rFonts w:ascii="Garamond" w:hAnsi="Garamond"/>
        </w:rPr>
        <w:t xml:space="preserve"> Initiate follow-up meetings to develop detailed implementation plans based on agreed-upon strategies and timelines, ensuring that actions are carried out effectively and monitored for progress.</w:t>
      </w:r>
    </w:p>
    <w:p w14:paraId="2F368371">
      <w:pPr>
        <w:spacing w:after="0" w:line="240" w:lineRule="auto"/>
        <w:rPr>
          <w:rFonts w:ascii="Garamond" w:hAnsi="Garamond"/>
          <w:b/>
          <w:bCs/>
        </w:rPr>
      </w:pPr>
    </w:p>
    <w:p w14:paraId="386F3991">
      <w:pPr>
        <w:spacing w:after="0" w:line="240" w:lineRule="auto"/>
        <w:rPr>
          <w:rFonts w:ascii="Garamond" w:hAnsi="Garamond"/>
        </w:rPr>
      </w:pPr>
      <w:r>
        <w:rPr>
          <w:rFonts w:ascii="Garamond" w:hAnsi="Garamond"/>
          <w:b/>
          <w:bCs/>
        </w:rPr>
        <w:t>Conclusion:</w:t>
      </w:r>
      <w:r>
        <w:rPr>
          <w:rFonts w:ascii="Garamond" w:hAnsi="Garamond"/>
          <w:b/>
          <w:bCs/>
        </w:rPr>
        <w:tab/>
      </w:r>
      <w:r>
        <w:rPr>
          <w:rFonts w:ascii="Garamond" w:hAnsi="Garamond"/>
        </w:rPr>
        <w:br w:type="textWrapping"/>
      </w:r>
      <w:r>
        <w:rPr>
          <w:rFonts w:ascii="Garamond" w:hAnsi="Garamond"/>
        </w:rPr>
        <w:t>The round table dialogues successfully facilitated a collaborative environment where stakeholders engaged constructively to align city policies with GRF commitments for the benefit of urban refugees and host communities. Moving forward, continued coordination and commitment, including the participation of urban refugees in division-level budget conferences, will be crucial to achieving sustainable outcomes.</w:t>
      </w:r>
    </w:p>
    <w:p w14:paraId="4D281BDC">
      <w:pPr>
        <w:spacing w:after="0" w:line="240" w:lineRule="auto"/>
        <w:jc w:val="both"/>
        <w:rPr>
          <w:rFonts w:ascii="Garamond" w:hAnsi="Garamond"/>
        </w:rPr>
        <w:sectPr>
          <w:footerReference r:id="rId5" w:type="default"/>
          <w:pgSz w:w="12240" w:h="15840"/>
          <w:pgMar w:top="1440" w:right="1440" w:bottom="1440" w:left="1440" w:header="720" w:footer="720" w:gutter="0"/>
          <w:cols w:space="720" w:num="1"/>
          <w:docGrid w:linePitch="360" w:charSpace="0"/>
        </w:sectPr>
      </w:pPr>
    </w:p>
    <w:p w14:paraId="30AA46FB">
      <w:pPr>
        <w:pStyle w:val="2"/>
      </w:pPr>
      <w:bookmarkStart w:id="9" w:name="_Toc170812611"/>
      <w:r>
        <w:t>Attendance list</w:t>
      </w:r>
      <w:bookmarkEnd w:id="9"/>
    </w:p>
    <w:p w14:paraId="0F30FE11">
      <w:pPr>
        <w:spacing w:after="0" w:line="240" w:lineRule="auto"/>
        <w:rPr>
          <w:rFonts w:ascii="Garamond" w:hAnsi="Garamond"/>
        </w:rPr>
      </w:pPr>
    </w:p>
    <w:tbl>
      <w:tblPr>
        <w:tblStyle w:val="5"/>
        <w:tblW w:w="12365"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7"/>
        <w:gridCol w:w="3135"/>
        <w:gridCol w:w="542"/>
        <w:gridCol w:w="4230"/>
        <w:gridCol w:w="1180"/>
        <w:gridCol w:w="1360"/>
        <w:gridCol w:w="1440"/>
      </w:tblGrid>
      <w:tr w14:paraId="18DA7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80" w:type="dxa"/>
            <w:shd w:val="clear" w:color="auto" w:fill="auto"/>
            <w:noWrap/>
            <w:vAlign w:val="bottom"/>
          </w:tcPr>
          <w:p w14:paraId="6850197B">
            <w:pPr>
              <w:spacing w:after="0" w:line="240" w:lineRule="auto"/>
              <w:rPr>
                <w:rFonts w:ascii="Garamond" w:hAnsi="Garamond" w:eastAsia="Times New Roman" w:cs="Times New Roman"/>
                <w:b/>
                <w:bCs/>
                <w:color w:val="000000"/>
              </w:rPr>
            </w:pPr>
            <w:r>
              <w:rPr>
                <w:rFonts w:ascii="Garamond" w:hAnsi="Garamond" w:eastAsia="Times New Roman" w:cs="Times New Roman"/>
                <w:b/>
                <w:bCs/>
                <w:color w:val="000000"/>
              </w:rPr>
              <w:t>No</w:t>
            </w:r>
          </w:p>
        </w:tc>
        <w:tc>
          <w:tcPr>
            <w:tcW w:w="3135" w:type="dxa"/>
            <w:shd w:val="clear" w:color="auto" w:fill="auto"/>
            <w:noWrap/>
            <w:vAlign w:val="bottom"/>
          </w:tcPr>
          <w:p w14:paraId="55CF2FAF">
            <w:pPr>
              <w:spacing w:after="0" w:line="240" w:lineRule="auto"/>
              <w:rPr>
                <w:rFonts w:ascii="Garamond" w:hAnsi="Garamond" w:eastAsia="Times New Roman" w:cs="Times New Roman"/>
                <w:b/>
                <w:bCs/>
                <w:color w:val="000000"/>
              </w:rPr>
            </w:pPr>
            <w:r>
              <w:rPr>
                <w:rFonts w:ascii="Garamond" w:hAnsi="Garamond" w:eastAsia="Times New Roman" w:cs="Times New Roman"/>
                <w:b/>
                <w:bCs/>
                <w:color w:val="000000"/>
              </w:rPr>
              <w:t>Name</w:t>
            </w:r>
          </w:p>
        </w:tc>
        <w:tc>
          <w:tcPr>
            <w:tcW w:w="540" w:type="dxa"/>
            <w:shd w:val="clear" w:color="auto" w:fill="auto"/>
            <w:noWrap/>
            <w:vAlign w:val="bottom"/>
          </w:tcPr>
          <w:p w14:paraId="1F2348F5">
            <w:pPr>
              <w:spacing w:after="0" w:line="240" w:lineRule="auto"/>
              <w:rPr>
                <w:rFonts w:ascii="Garamond" w:hAnsi="Garamond" w:eastAsia="Times New Roman" w:cs="Times New Roman"/>
                <w:b/>
                <w:bCs/>
                <w:color w:val="000000"/>
              </w:rPr>
            </w:pPr>
            <w:r>
              <w:rPr>
                <w:rFonts w:ascii="Garamond" w:hAnsi="Garamond" w:eastAsia="Times New Roman" w:cs="Times New Roman"/>
                <w:b/>
                <w:bCs/>
                <w:color w:val="000000"/>
              </w:rPr>
              <w:t>Sex</w:t>
            </w:r>
          </w:p>
        </w:tc>
        <w:tc>
          <w:tcPr>
            <w:tcW w:w="4230" w:type="dxa"/>
            <w:shd w:val="clear" w:color="auto" w:fill="auto"/>
            <w:noWrap/>
            <w:vAlign w:val="bottom"/>
          </w:tcPr>
          <w:p w14:paraId="70F79B87">
            <w:pPr>
              <w:spacing w:after="0" w:line="240" w:lineRule="auto"/>
              <w:rPr>
                <w:rFonts w:ascii="Garamond" w:hAnsi="Garamond" w:eastAsia="Times New Roman" w:cs="Times New Roman"/>
                <w:b/>
                <w:bCs/>
                <w:color w:val="000000"/>
              </w:rPr>
            </w:pPr>
            <w:r>
              <w:rPr>
                <w:rFonts w:ascii="Garamond" w:hAnsi="Garamond" w:eastAsia="Times New Roman" w:cs="Times New Roman"/>
                <w:b/>
                <w:bCs/>
                <w:color w:val="000000"/>
              </w:rPr>
              <w:t>Group Name</w:t>
            </w:r>
          </w:p>
        </w:tc>
        <w:tc>
          <w:tcPr>
            <w:tcW w:w="1180" w:type="dxa"/>
            <w:shd w:val="clear" w:color="auto" w:fill="auto"/>
            <w:noWrap/>
            <w:vAlign w:val="bottom"/>
          </w:tcPr>
          <w:p w14:paraId="0377E8D5">
            <w:pPr>
              <w:spacing w:after="0" w:line="240" w:lineRule="auto"/>
              <w:rPr>
                <w:rFonts w:ascii="Garamond" w:hAnsi="Garamond" w:eastAsia="Times New Roman" w:cs="Times New Roman"/>
                <w:b/>
                <w:bCs/>
                <w:color w:val="000000"/>
              </w:rPr>
            </w:pPr>
            <w:r>
              <w:rPr>
                <w:rFonts w:ascii="Garamond" w:hAnsi="Garamond" w:eastAsia="Times New Roman" w:cs="Times New Roman"/>
                <w:b/>
                <w:bCs/>
                <w:color w:val="000000"/>
              </w:rPr>
              <w:t>Division</w:t>
            </w:r>
          </w:p>
        </w:tc>
        <w:tc>
          <w:tcPr>
            <w:tcW w:w="1360" w:type="dxa"/>
            <w:shd w:val="clear" w:color="auto" w:fill="auto"/>
            <w:noWrap/>
            <w:vAlign w:val="bottom"/>
          </w:tcPr>
          <w:p w14:paraId="4E54FD87">
            <w:pPr>
              <w:spacing w:after="0" w:line="240" w:lineRule="auto"/>
              <w:rPr>
                <w:rFonts w:ascii="Garamond" w:hAnsi="Garamond" w:eastAsia="Times New Roman" w:cs="Times New Roman"/>
                <w:b/>
                <w:bCs/>
                <w:color w:val="000000"/>
              </w:rPr>
            </w:pPr>
            <w:r>
              <w:rPr>
                <w:rFonts w:ascii="Garamond" w:hAnsi="Garamond" w:eastAsia="Times New Roman" w:cs="Times New Roman"/>
                <w:b/>
                <w:bCs/>
                <w:color w:val="000000"/>
              </w:rPr>
              <w:t>Nationality</w:t>
            </w:r>
          </w:p>
        </w:tc>
        <w:tc>
          <w:tcPr>
            <w:tcW w:w="1440" w:type="dxa"/>
            <w:shd w:val="clear" w:color="auto" w:fill="auto"/>
            <w:noWrap/>
            <w:vAlign w:val="bottom"/>
          </w:tcPr>
          <w:p w14:paraId="43EA68C4">
            <w:pPr>
              <w:spacing w:after="0" w:line="240" w:lineRule="auto"/>
              <w:rPr>
                <w:rFonts w:ascii="Garamond" w:hAnsi="Garamond" w:eastAsia="Times New Roman" w:cs="Times New Roman"/>
                <w:b/>
                <w:bCs/>
                <w:color w:val="000000"/>
              </w:rPr>
            </w:pPr>
            <w:r>
              <w:rPr>
                <w:rFonts w:ascii="Garamond" w:hAnsi="Garamond" w:eastAsia="Times New Roman" w:cs="Times New Roman"/>
                <w:b/>
                <w:bCs/>
                <w:color w:val="000000"/>
              </w:rPr>
              <w:t>Contacts</w:t>
            </w:r>
          </w:p>
        </w:tc>
      </w:tr>
      <w:tr w14:paraId="1455F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80" w:type="dxa"/>
            <w:shd w:val="clear" w:color="auto" w:fill="auto"/>
            <w:noWrap/>
            <w:vAlign w:val="bottom"/>
          </w:tcPr>
          <w:p w14:paraId="598AFB03">
            <w:pPr>
              <w:spacing w:after="0" w:line="240" w:lineRule="auto"/>
              <w:jc w:val="right"/>
              <w:rPr>
                <w:rFonts w:ascii="Garamond" w:hAnsi="Garamond" w:eastAsia="Times New Roman" w:cs="Times New Roman"/>
                <w:color w:val="000000"/>
              </w:rPr>
            </w:pPr>
            <w:r>
              <w:rPr>
                <w:rFonts w:ascii="Garamond" w:hAnsi="Garamond" w:eastAsia="Times New Roman" w:cs="Times New Roman"/>
                <w:color w:val="000000"/>
              </w:rPr>
              <w:t>1</w:t>
            </w:r>
          </w:p>
        </w:tc>
        <w:tc>
          <w:tcPr>
            <w:tcW w:w="3135" w:type="dxa"/>
            <w:shd w:val="clear" w:color="auto" w:fill="auto"/>
            <w:noWrap/>
            <w:vAlign w:val="bottom"/>
          </w:tcPr>
          <w:p w14:paraId="1AA1A5BC">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Habimana Gerald</w:t>
            </w:r>
          </w:p>
        </w:tc>
        <w:tc>
          <w:tcPr>
            <w:tcW w:w="540" w:type="dxa"/>
            <w:shd w:val="clear" w:color="auto" w:fill="auto"/>
            <w:noWrap/>
            <w:vAlign w:val="bottom"/>
          </w:tcPr>
          <w:p w14:paraId="3B7CC848">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M</w:t>
            </w:r>
          </w:p>
        </w:tc>
        <w:tc>
          <w:tcPr>
            <w:tcW w:w="4230" w:type="dxa"/>
            <w:shd w:val="clear" w:color="auto" w:fill="auto"/>
            <w:noWrap/>
            <w:vAlign w:val="bottom"/>
          </w:tcPr>
          <w:p w14:paraId="0D5A70CE">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Rema Group 49 Members</w:t>
            </w:r>
          </w:p>
        </w:tc>
        <w:tc>
          <w:tcPr>
            <w:tcW w:w="1180" w:type="dxa"/>
            <w:shd w:val="clear" w:color="auto" w:fill="auto"/>
            <w:noWrap/>
            <w:vAlign w:val="bottom"/>
          </w:tcPr>
          <w:p w14:paraId="62B8AF29">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Lubaga</w:t>
            </w:r>
          </w:p>
        </w:tc>
        <w:tc>
          <w:tcPr>
            <w:tcW w:w="1360" w:type="dxa"/>
            <w:shd w:val="clear" w:color="auto" w:fill="auto"/>
            <w:noWrap/>
            <w:vAlign w:val="bottom"/>
          </w:tcPr>
          <w:p w14:paraId="778E6ECF">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Burundian</w:t>
            </w:r>
          </w:p>
        </w:tc>
        <w:tc>
          <w:tcPr>
            <w:tcW w:w="1440" w:type="dxa"/>
            <w:shd w:val="clear" w:color="auto" w:fill="auto"/>
            <w:noWrap/>
            <w:vAlign w:val="bottom"/>
          </w:tcPr>
          <w:p w14:paraId="0FAE4DC7">
            <w:pPr>
              <w:spacing w:after="0" w:line="240" w:lineRule="auto"/>
              <w:jc w:val="right"/>
              <w:rPr>
                <w:rFonts w:ascii="Garamond" w:hAnsi="Garamond" w:eastAsia="Times New Roman" w:cs="Times New Roman"/>
                <w:color w:val="000000"/>
              </w:rPr>
            </w:pPr>
            <w:r>
              <w:rPr>
                <w:rFonts w:ascii="Garamond" w:hAnsi="Garamond" w:eastAsia="Times New Roman" w:cs="Times New Roman"/>
                <w:color w:val="000000"/>
              </w:rPr>
              <w:t>0770 943449</w:t>
            </w:r>
          </w:p>
        </w:tc>
      </w:tr>
      <w:tr w14:paraId="1933A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80" w:type="dxa"/>
            <w:shd w:val="clear" w:color="auto" w:fill="auto"/>
            <w:noWrap/>
            <w:vAlign w:val="bottom"/>
          </w:tcPr>
          <w:p w14:paraId="59B2237D">
            <w:pPr>
              <w:spacing w:after="0" w:line="240" w:lineRule="auto"/>
              <w:jc w:val="right"/>
              <w:rPr>
                <w:rFonts w:ascii="Garamond" w:hAnsi="Garamond" w:eastAsia="Times New Roman" w:cs="Times New Roman"/>
                <w:color w:val="000000"/>
              </w:rPr>
            </w:pPr>
            <w:r>
              <w:rPr>
                <w:rFonts w:ascii="Garamond" w:hAnsi="Garamond" w:eastAsia="Times New Roman" w:cs="Times New Roman"/>
                <w:color w:val="000000"/>
              </w:rPr>
              <w:t>2</w:t>
            </w:r>
          </w:p>
        </w:tc>
        <w:tc>
          <w:tcPr>
            <w:tcW w:w="3135" w:type="dxa"/>
            <w:shd w:val="clear" w:color="auto" w:fill="auto"/>
            <w:noWrap/>
            <w:vAlign w:val="bottom"/>
          </w:tcPr>
          <w:p w14:paraId="47B8E751">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 xml:space="preserve">Kavitesi Florence </w:t>
            </w:r>
          </w:p>
        </w:tc>
        <w:tc>
          <w:tcPr>
            <w:tcW w:w="540" w:type="dxa"/>
            <w:shd w:val="clear" w:color="auto" w:fill="auto"/>
            <w:noWrap/>
            <w:vAlign w:val="bottom"/>
          </w:tcPr>
          <w:p w14:paraId="3599B0AA">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F</w:t>
            </w:r>
          </w:p>
        </w:tc>
        <w:tc>
          <w:tcPr>
            <w:tcW w:w="4230" w:type="dxa"/>
            <w:shd w:val="clear" w:color="auto" w:fill="auto"/>
            <w:noWrap/>
            <w:vAlign w:val="bottom"/>
          </w:tcPr>
          <w:p w14:paraId="1E7B33C8">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Women Building Nation Refugee Group</w:t>
            </w:r>
          </w:p>
        </w:tc>
        <w:tc>
          <w:tcPr>
            <w:tcW w:w="1180" w:type="dxa"/>
            <w:shd w:val="clear" w:color="auto" w:fill="auto"/>
            <w:noWrap/>
            <w:vAlign w:val="bottom"/>
          </w:tcPr>
          <w:p w14:paraId="16DA4B40">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Lubaga</w:t>
            </w:r>
          </w:p>
        </w:tc>
        <w:tc>
          <w:tcPr>
            <w:tcW w:w="1360" w:type="dxa"/>
            <w:shd w:val="clear" w:color="auto" w:fill="auto"/>
            <w:noWrap/>
            <w:vAlign w:val="bottom"/>
          </w:tcPr>
          <w:p w14:paraId="6818577A">
            <w:pPr>
              <w:spacing w:after="0" w:line="240" w:lineRule="auto"/>
              <w:rPr>
                <w:rFonts w:ascii="Garamond" w:hAnsi="Garamond" w:eastAsia="Times New Roman" w:cs="Times New Roman"/>
                <w:color w:val="000000"/>
              </w:rPr>
            </w:pPr>
            <w:r>
              <w:rPr>
                <w:rFonts w:ascii="Garamond" w:hAnsi="Garamond" w:eastAsia="Times New Roman" w:cs="Times New Roman"/>
                <w:color w:val="000000"/>
              </w:rPr>
              <w:t>Burundian</w:t>
            </w:r>
          </w:p>
        </w:tc>
        <w:tc>
          <w:tcPr>
            <w:tcW w:w="1440" w:type="dxa"/>
            <w:shd w:val="clear" w:color="auto" w:fill="auto"/>
            <w:noWrap/>
            <w:vAlign w:val="bottom"/>
          </w:tcPr>
          <w:p w14:paraId="004814B4">
            <w:pPr>
              <w:spacing w:after="0" w:line="240" w:lineRule="auto"/>
              <w:jc w:val="right"/>
              <w:rPr>
                <w:rFonts w:ascii="Garamond" w:hAnsi="Garamond" w:eastAsia="Times New Roman" w:cs="Times New Roman"/>
                <w:color w:val="000000"/>
              </w:rPr>
            </w:pPr>
            <w:r>
              <w:rPr>
                <w:rFonts w:ascii="Garamond" w:hAnsi="Garamond" w:eastAsia="Times New Roman" w:cs="Times New Roman"/>
                <w:color w:val="000000"/>
              </w:rPr>
              <w:t>0757 433573</w:t>
            </w:r>
          </w:p>
        </w:tc>
      </w:tr>
      <w:tr w14:paraId="36E4D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80" w:type="dxa"/>
            <w:shd w:val="clear" w:color="auto" w:fill="auto"/>
            <w:noWrap/>
            <w:vAlign w:val="bottom"/>
          </w:tcPr>
          <w:p w14:paraId="18E1CBF2">
            <w:pPr>
              <w:spacing w:after="0" w:line="240" w:lineRule="auto"/>
              <w:jc w:val="right"/>
              <w:rPr>
                <w:rFonts w:ascii="Garamond" w:hAnsi="Garamond" w:eastAsia="Times New Roman" w:cs="Times New Roman"/>
                <w:color w:val="000000"/>
              </w:rPr>
            </w:pPr>
            <w:r>
              <w:rPr>
                <w:rFonts w:ascii="Garamond" w:hAnsi="Garamond" w:eastAsia="Times New Roman" w:cs="Times New Roman"/>
                <w:color w:val="000000"/>
              </w:rPr>
              <w:t>3</w:t>
            </w:r>
          </w:p>
        </w:tc>
        <w:tc>
          <w:tcPr>
            <w:tcW w:w="3135" w:type="dxa"/>
            <w:shd w:val="clear" w:color="auto" w:fill="auto"/>
            <w:noWrap/>
            <w:vAlign w:val="bottom"/>
          </w:tcPr>
          <w:p w14:paraId="0C4851FF">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Samantha Samba</w:t>
            </w:r>
          </w:p>
        </w:tc>
        <w:tc>
          <w:tcPr>
            <w:tcW w:w="540" w:type="dxa"/>
            <w:shd w:val="clear" w:color="auto" w:fill="auto"/>
            <w:noWrap/>
            <w:vAlign w:val="bottom"/>
          </w:tcPr>
          <w:p w14:paraId="64BA2CD9">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F</w:t>
            </w:r>
          </w:p>
        </w:tc>
        <w:tc>
          <w:tcPr>
            <w:tcW w:w="4230" w:type="dxa"/>
            <w:shd w:val="clear" w:color="auto" w:fill="auto"/>
            <w:noWrap/>
            <w:vAlign w:val="bottom"/>
          </w:tcPr>
          <w:p w14:paraId="682BCC54">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Bright Women</w:t>
            </w:r>
          </w:p>
        </w:tc>
        <w:tc>
          <w:tcPr>
            <w:tcW w:w="1180" w:type="dxa"/>
            <w:shd w:val="clear" w:color="auto" w:fill="auto"/>
            <w:noWrap/>
            <w:vAlign w:val="bottom"/>
          </w:tcPr>
          <w:p w14:paraId="26E7E291">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Makindye</w:t>
            </w:r>
          </w:p>
        </w:tc>
        <w:tc>
          <w:tcPr>
            <w:tcW w:w="1360" w:type="dxa"/>
            <w:shd w:val="clear" w:color="auto" w:fill="auto"/>
            <w:noWrap/>
            <w:vAlign w:val="bottom"/>
          </w:tcPr>
          <w:p w14:paraId="32B52C5F">
            <w:pPr>
              <w:spacing w:after="0" w:line="240" w:lineRule="auto"/>
              <w:rPr>
                <w:rFonts w:ascii="Garamond" w:hAnsi="Garamond" w:eastAsia="Times New Roman" w:cs="Times New Roman"/>
                <w:color w:val="000000"/>
              </w:rPr>
            </w:pPr>
            <w:r>
              <w:rPr>
                <w:rFonts w:ascii="Garamond" w:hAnsi="Garamond" w:eastAsia="Times New Roman" w:cs="Times New Roman"/>
                <w:color w:val="000000"/>
              </w:rPr>
              <w:t>Congo</w:t>
            </w:r>
          </w:p>
        </w:tc>
        <w:tc>
          <w:tcPr>
            <w:tcW w:w="1440" w:type="dxa"/>
            <w:shd w:val="clear" w:color="auto" w:fill="auto"/>
            <w:noWrap/>
            <w:vAlign w:val="bottom"/>
          </w:tcPr>
          <w:p w14:paraId="2BF40700">
            <w:pPr>
              <w:spacing w:after="0" w:line="240" w:lineRule="auto"/>
              <w:jc w:val="right"/>
              <w:rPr>
                <w:rFonts w:ascii="Garamond" w:hAnsi="Garamond" w:eastAsia="Times New Roman" w:cs="Times New Roman"/>
                <w:color w:val="000000"/>
              </w:rPr>
            </w:pPr>
            <w:r>
              <w:rPr>
                <w:rFonts w:ascii="Garamond" w:hAnsi="Garamond" w:eastAsia="Times New Roman" w:cs="Times New Roman"/>
                <w:color w:val="000000"/>
              </w:rPr>
              <w:t>0709 689560</w:t>
            </w:r>
          </w:p>
        </w:tc>
      </w:tr>
      <w:tr w14:paraId="7DCE9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80" w:type="dxa"/>
            <w:shd w:val="clear" w:color="auto" w:fill="auto"/>
            <w:noWrap/>
            <w:vAlign w:val="bottom"/>
          </w:tcPr>
          <w:p w14:paraId="2317F0B2">
            <w:pPr>
              <w:spacing w:after="0" w:line="240" w:lineRule="auto"/>
              <w:jc w:val="right"/>
              <w:rPr>
                <w:rFonts w:ascii="Garamond" w:hAnsi="Garamond" w:eastAsia="Times New Roman" w:cs="Times New Roman"/>
                <w:color w:val="000000"/>
              </w:rPr>
            </w:pPr>
            <w:r>
              <w:rPr>
                <w:rFonts w:ascii="Garamond" w:hAnsi="Garamond" w:eastAsia="Times New Roman" w:cs="Times New Roman"/>
                <w:color w:val="000000"/>
              </w:rPr>
              <w:t>4</w:t>
            </w:r>
          </w:p>
        </w:tc>
        <w:tc>
          <w:tcPr>
            <w:tcW w:w="3135" w:type="dxa"/>
            <w:shd w:val="clear" w:color="auto" w:fill="auto"/>
            <w:noWrap/>
            <w:vAlign w:val="bottom"/>
          </w:tcPr>
          <w:p w14:paraId="2F63079D">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 xml:space="preserve">Clovis Mugenyi </w:t>
            </w:r>
          </w:p>
        </w:tc>
        <w:tc>
          <w:tcPr>
            <w:tcW w:w="540" w:type="dxa"/>
            <w:shd w:val="clear" w:color="auto" w:fill="auto"/>
            <w:noWrap/>
            <w:vAlign w:val="bottom"/>
          </w:tcPr>
          <w:p w14:paraId="054825A4">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M</w:t>
            </w:r>
          </w:p>
        </w:tc>
        <w:tc>
          <w:tcPr>
            <w:tcW w:w="4230" w:type="dxa"/>
            <w:shd w:val="clear" w:color="auto" w:fill="auto"/>
            <w:noWrap/>
            <w:vAlign w:val="bottom"/>
          </w:tcPr>
          <w:p w14:paraId="38EE6725">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Angels Fashion devt Group</w:t>
            </w:r>
          </w:p>
        </w:tc>
        <w:tc>
          <w:tcPr>
            <w:tcW w:w="1180" w:type="dxa"/>
            <w:shd w:val="clear" w:color="auto" w:fill="auto"/>
            <w:noWrap/>
            <w:vAlign w:val="bottom"/>
          </w:tcPr>
          <w:p w14:paraId="6107CC7C">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Makindye</w:t>
            </w:r>
          </w:p>
        </w:tc>
        <w:tc>
          <w:tcPr>
            <w:tcW w:w="1360" w:type="dxa"/>
            <w:shd w:val="clear" w:color="auto" w:fill="auto"/>
            <w:noWrap/>
            <w:vAlign w:val="bottom"/>
          </w:tcPr>
          <w:p w14:paraId="299AAA53">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Congo</w:t>
            </w:r>
          </w:p>
        </w:tc>
        <w:tc>
          <w:tcPr>
            <w:tcW w:w="1440" w:type="dxa"/>
            <w:shd w:val="clear" w:color="auto" w:fill="auto"/>
            <w:noWrap/>
            <w:vAlign w:val="bottom"/>
          </w:tcPr>
          <w:p w14:paraId="60104DBE">
            <w:pPr>
              <w:spacing w:after="0" w:line="240" w:lineRule="auto"/>
              <w:jc w:val="right"/>
              <w:rPr>
                <w:rFonts w:ascii="Garamond" w:hAnsi="Garamond" w:eastAsia="Times New Roman" w:cs="Times New Roman"/>
                <w:color w:val="000000"/>
              </w:rPr>
            </w:pPr>
            <w:r>
              <w:rPr>
                <w:rFonts w:ascii="Garamond" w:hAnsi="Garamond" w:eastAsia="Times New Roman" w:cs="Times New Roman"/>
                <w:color w:val="000000"/>
              </w:rPr>
              <w:t>0761 140275</w:t>
            </w:r>
          </w:p>
        </w:tc>
      </w:tr>
      <w:tr w14:paraId="0F416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80" w:type="dxa"/>
            <w:shd w:val="clear" w:color="auto" w:fill="auto"/>
            <w:noWrap/>
            <w:vAlign w:val="bottom"/>
          </w:tcPr>
          <w:p w14:paraId="43650D83">
            <w:pPr>
              <w:spacing w:after="0" w:line="240" w:lineRule="auto"/>
              <w:jc w:val="right"/>
              <w:rPr>
                <w:rFonts w:ascii="Garamond" w:hAnsi="Garamond" w:eastAsia="Times New Roman" w:cs="Times New Roman"/>
                <w:color w:val="000000"/>
              </w:rPr>
            </w:pPr>
            <w:r>
              <w:rPr>
                <w:rFonts w:ascii="Garamond" w:hAnsi="Garamond" w:eastAsia="Times New Roman" w:cs="Times New Roman"/>
                <w:color w:val="000000"/>
              </w:rPr>
              <w:t>5</w:t>
            </w:r>
          </w:p>
        </w:tc>
        <w:tc>
          <w:tcPr>
            <w:tcW w:w="3135" w:type="dxa"/>
            <w:shd w:val="clear" w:color="auto" w:fill="auto"/>
            <w:noWrap/>
            <w:vAlign w:val="bottom"/>
          </w:tcPr>
          <w:p w14:paraId="15B2B47B">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Vestarade Asmahan</w:t>
            </w:r>
          </w:p>
        </w:tc>
        <w:tc>
          <w:tcPr>
            <w:tcW w:w="540" w:type="dxa"/>
            <w:shd w:val="clear" w:color="auto" w:fill="auto"/>
            <w:noWrap/>
            <w:vAlign w:val="bottom"/>
          </w:tcPr>
          <w:p w14:paraId="6C1AC523">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F</w:t>
            </w:r>
          </w:p>
        </w:tc>
        <w:tc>
          <w:tcPr>
            <w:tcW w:w="4230" w:type="dxa"/>
            <w:shd w:val="clear" w:color="auto" w:fill="auto"/>
            <w:noWrap/>
            <w:vAlign w:val="bottom"/>
          </w:tcPr>
          <w:p w14:paraId="7E564B67">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Light Social Innitiative</w:t>
            </w:r>
          </w:p>
        </w:tc>
        <w:tc>
          <w:tcPr>
            <w:tcW w:w="1180" w:type="dxa"/>
            <w:shd w:val="clear" w:color="auto" w:fill="auto"/>
            <w:noWrap/>
            <w:vAlign w:val="bottom"/>
          </w:tcPr>
          <w:p w14:paraId="1F56D460">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Makindye</w:t>
            </w:r>
          </w:p>
        </w:tc>
        <w:tc>
          <w:tcPr>
            <w:tcW w:w="1360" w:type="dxa"/>
            <w:shd w:val="clear" w:color="auto" w:fill="auto"/>
            <w:noWrap/>
            <w:vAlign w:val="bottom"/>
          </w:tcPr>
          <w:p w14:paraId="10AA8293">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Congo</w:t>
            </w:r>
          </w:p>
        </w:tc>
        <w:tc>
          <w:tcPr>
            <w:tcW w:w="1440" w:type="dxa"/>
            <w:shd w:val="clear" w:color="auto" w:fill="auto"/>
            <w:noWrap/>
            <w:vAlign w:val="bottom"/>
          </w:tcPr>
          <w:p w14:paraId="2BD77F6D">
            <w:pPr>
              <w:spacing w:after="0" w:line="240" w:lineRule="auto"/>
              <w:jc w:val="right"/>
              <w:rPr>
                <w:rFonts w:ascii="Garamond" w:hAnsi="Garamond" w:eastAsia="Times New Roman" w:cs="Times New Roman"/>
                <w:color w:val="000000"/>
              </w:rPr>
            </w:pPr>
            <w:r>
              <w:rPr>
                <w:rFonts w:ascii="Garamond" w:hAnsi="Garamond" w:eastAsia="Times New Roman" w:cs="Times New Roman"/>
                <w:color w:val="000000"/>
              </w:rPr>
              <w:t>0702 089571</w:t>
            </w:r>
          </w:p>
        </w:tc>
      </w:tr>
      <w:tr w14:paraId="4193B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80" w:type="dxa"/>
            <w:shd w:val="clear" w:color="auto" w:fill="auto"/>
            <w:noWrap/>
            <w:vAlign w:val="bottom"/>
          </w:tcPr>
          <w:p w14:paraId="7EF53EF0">
            <w:pPr>
              <w:spacing w:after="0" w:line="240" w:lineRule="auto"/>
              <w:jc w:val="right"/>
              <w:rPr>
                <w:rFonts w:ascii="Garamond" w:hAnsi="Garamond" w:eastAsia="Times New Roman" w:cs="Times New Roman"/>
                <w:color w:val="000000"/>
              </w:rPr>
            </w:pPr>
            <w:r>
              <w:rPr>
                <w:rFonts w:ascii="Garamond" w:hAnsi="Garamond" w:eastAsia="Times New Roman" w:cs="Times New Roman"/>
                <w:color w:val="000000"/>
              </w:rPr>
              <w:t>6</w:t>
            </w:r>
          </w:p>
        </w:tc>
        <w:tc>
          <w:tcPr>
            <w:tcW w:w="3135" w:type="dxa"/>
            <w:shd w:val="clear" w:color="auto" w:fill="auto"/>
            <w:noWrap/>
            <w:vAlign w:val="bottom"/>
          </w:tcPr>
          <w:p w14:paraId="2C42C11D">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Bamulange Odile</w:t>
            </w:r>
          </w:p>
        </w:tc>
        <w:tc>
          <w:tcPr>
            <w:tcW w:w="540" w:type="dxa"/>
            <w:shd w:val="clear" w:color="auto" w:fill="auto"/>
            <w:noWrap/>
            <w:vAlign w:val="bottom"/>
          </w:tcPr>
          <w:p w14:paraId="37D08262">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F</w:t>
            </w:r>
          </w:p>
        </w:tc>
        <w:tc>
          <w:tcPr>
            <w:tcW w:w="4230" w:type="dxa"/>
            <w:shd w:val="clear" w:color="auto" w:fill="auto"/>
            <w:noWrap/>
            <w:vAlign w:val="bottom"/>
          </w:tcPr>
          <w:p w14:paraId="7634AA2C">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La Grace Group</w:t>
            </w:r>
          </w:p>
        </w:tc>
        <w:tc>
          <w:tcPr>
            <w:tcW w:w="1180" w:type="dxa"/>
            <w:shd w:val="clear" w:color="auto" w:fill="auto"/>
            <w:noWrap/>
            <w:vAlign w:val="bottom"/>
          </w:tcPr>
          <w:p w14:paraId="625CD9A5">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Lubaga</w:t>
            </w:r>
          </w:p>
        </w:tc>
        <w:tc>
          <w:tcPr>
            <w:tcW w:w="1360" w:type="dxa"/>
            <w:shd w:val="clear" w:color="auto" w:fill="auto"/>
            <w:noWrap/>
            <w:vAlign w:val="bottom"/>
          </w:tcPr>
          <w:p w14:paraId="0C4A1F91">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Congo</w:t>
            </w:r>
          </w:p>
        </w:tc>
        <w:tc>
          <w:tcPr>
            <w:tcW w:w="1440" w:type="dxa"/>
            <w:shd w:val="clear" w:color="auto" w:fill="auto"/>
            <w:noWrap/>
            <w:vAlign w:val="bottom"/>
          </w:tcPr>
          <w:p w14:paraId="35529610">
            <w:pPr>
              <w:spacing w:after="0" w:line="240" w:lineRule="auto"/>
              <w:jc w:val="right"/>
              <w:rPr>
                <w:rFonts w:ascii="Garamond" w:hAnsi="Garamond" w:eastAsia="Times New Roman" w:cs="Times New Roman"/>
                <w:color w:val="000000"/>
              </w:rPr>
            </w:pPr>
            <w:r>
              <w:rPr>
                <w:rFonts w:ascii="Garamond" w:hAnsi="Garamond" w:eastAsia="Times New Roman" w:cs="Times New Roman"/>
                <w:color w:val="000000"/>
              </w:rPr>
              <w:t>0781 330497</w:t>
            </w:r>
          </w:p>
        </w:tc>
      </w:tr>
      <w:tr w14:paraId="42AC0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80" w:type="dxa"/>
            <w:shd w:val="clear" w:color="auto" w:fill="auto"/>
            <w:noWrap/>
            <w:vAlign w:val="bottom"/>
          </w:tcPr>
          <w:p w14:paraId="65FE7A42">
            <w:pPr>
              <w:spacing w:after="0" w:line="240" w:lineRule="auto"/>
              <w:jc w:val="right"/>
              <w:rPr>
                <w:rFonts w:ascii="Garamond" w:hAnsi="Garamond" w:eastAsia="Times New Roman" w:cs="Times New Roman"/>
                <w:color w:val="000000"/>
              </w:rPr>
            </w:pPr>
            <w:r>
              <w:rPr>
                <w:rFonts w:ascii="Garamond" w:hAnsi="Garamond" w:eastAsia="Times New Roman" w:cs="Times New Roman"/>
                <w:color w:val="000000"/>
              </w:rPr>
              <w:t>7</w:t>
            </w:r>
          </w:p>
        </w:tc>
        <w:tc>
          <w:tcPr>
            <w:tcW w:w="3135" w:type="dxa"/>
            <w:shd w:val="clear" w:color="auto" w:fill="auto"/>
            <w:noWrap/>
            <w:vAlign w:val="bottom"/>
          </w:tcPr>
          <w:p w14:paraId="2B797C6E">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Igabire Prossy</w:t>
            </w:r>
          </w:p>
        </w:tc>
        <w:tc>
          <w:tcPr>
            <w:tcW w:w="540" w:type="dxa"/>
            <w:shd w:val="clear" w:color="auto" w:fill="auto"/>
            <w:noWrap/>
            <w:vAlign w:val="bottom"/>
          </w:tcPr>
          <w:p w14:paraId="77972FE7">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F</w:t>
            </w:r>
          </w:p>
        </w:tc>
        <w:tc>
          <w:tcPr>
            <w:tcW w:w="4230" w:type="dxa"/>
            <w:shd w:val="clear" w:color="auto" w:fill="auto"/>
            <w:noWrap/>
            <w:vAlign w:val="bottom"/>
          </w:tcPr>
          <w:p w14:paraId="5BF87A31">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 xml:space="preserve">Namugoona Youth bags &amp; leater crafts </w:t>
            </w:r>
          </w:p>
        </w:tc>
        <w:tc>
          <w:tcPr>
            <w:tcW w:w="1180" w:type="dxa"/>
            <w:shd w:val="clear" w:color="auto" w:fill="auto"/>
            <w:noWrap/>
            <w:vAlign w:val="bottom"/>
          </w:tcPr>
          <w:p w14:paraId="5297BC85">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Lubaga</w:t>
            </w:r>
          </w:p>
        </w:tc>
        <w:tc>
          <w:tcPr>
            <w:tcW w:w="1360" w:type="dxa"/>
            <w:shd w:val="clear" w:color="auto" w:fill="auto"/>
            <w:noWrap/>
            <w:vAlign w:val="bottom"/>
          </w:tcPr>
          <w:p w14:paraId="1C01299E">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Congo</w:t>
            </w:r>
          </w:p>
        </w:tc>
        <w:tc>
          <w:tcPr>
            <w:tcW w:w="1440" w:type="dxa"/>
            <w:shd w:val="clear" w:color="auto" w:fill="auto"/>
            <w:noWrap/>
            <w:vAlign w:val="bottom"/>
          </w:tcPr>
          <w:p w14:paraId="75000377">
            <w:pPr>
              <w:spacing w:after="0" w:line="240" w:lineRule="auto"/>
              <w:jc w:val="right"/>
              <w:rPr>
                <w:rFonts w:ascii="Garamond" w:hAnsi="Garamond" w:eastAsia="Times New Roman" w:cs="Times New Roman"/>
                <w:color w:val="000000"/>
              </w:rPr>
            </w:pPr>
            <w:r>
              <w:rPr>
                <w:rFonts w:ascii="Garamond" w:hAnsi="Garamond" w:eastAsia="Times New Roman" w:cs="Times New Roman"/>
                <w:color w:val="000000"/>
              </w:rPr>
              <w:t>0777 605341</w:t>
            </w:r>
          </w:p>
        </w:tc>
      </w:tr>
      <w:tr w14:paraId="01877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80" w:type="dxa"/>
            <w:shd w:val="clear" w:color="auto" w:fill="auto"/>
            <w:noWrap/>
            <w:vAlign w:val="bottom"/>
          </w:tcPr>
          <w:p w14:paraId="027E7C87">
            <w:pPr>
              <w:spacing w:after="0" w:line="240" w:lineRule="auto"/>
              <w:jc w:val="right"/>
              <w:rPr>
                <w:rFonts w:ascii="Garamond" w:hAnsi="Garamond" w:eastAsia="Times New Roman" w:cs="Times New Roman"/>
                <w:color w:val="000000"/>
              </w:rPr>
            </w:pPr>
            <w:r>
              <w:rPr>
                <w:rFonts w:ascii="Garamond" w:hAnsi="Garamond" w:eastAsia="Times New Roman" w:cs="Times New Roman"/>
                <w:color w:val="000000"/>
              </w:rPr>
              <w:t>8</w:t>
            </w:r>
          </w:p>
        </w:tc>
        <w:tc>
          <w:tcPr>
            <w:tcW w:w="3135" w:type="dxa"/>
            <w:shd w:val="clear" w:color="auto" w:fill="auto"/>
            <w:noWrap/>
            <w:vAlign w:val="bottom"/>
          </w:tcPr>
          <w:p w14:paraId="0ABC8122">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Uwineza Sulaina</w:t>
            </w:r>
          </w:p>
        </w:tc>
        <w:tc>
          <w:tcPr>
            <w:tcW w:w="540" w:type="dxa"/>
            <w:shd w:val="clear" w:color="auto" w:fill="auto"/>
            <w:noWrap/>
            <w:vAlign w:val="bottom"/>
          </w:tcPr>
          <w:p w14:paraId="1BC8B3DC">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F</w:t>
            </w:r>
          </w:p>
        </w:tc>
        <w:tc>
          <w:tcPr>
            <w:tcW w:w="4230" w:type="dxa"/>
            <w:shd w:val="clear" w:color="auto" w:fill="auto"/>
            <w:noWrap/>
            <w:vAlign w:val="bottom"/>
          </w:tcPr>
          <w:p w14:paraId="6CAAE4FA">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Faith Development Group</w:t>
            </w:r>
          </w:p>
        </w:tc>
        <w:tc>
          <w:tcPr>
            <w:tcW w:w="1180" w:type="dxa"/>
            <w:shd w:val="clear" w:color="auto" w:fill="auto"/>
            <w:noWrap/>
            <w:vAlign w:val="bottom"/>
          </w:tcPr>
          <w:p w14:paraId="65894851">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Lubaga</w:t>
            </w:r>
          </w:p>
        </w:tc>
        <w:tc>
          <w:tcPr>
            <w:tcW w:w="1360" w:type="dxa"/>
            <w:shd w:val="clear" w:color="auto" w:fill="auto"/>
            <w:noWrap/>
            <w:vAlign w:val="bottom"/>
          </w:tcPr>
          <w:p w14:paraId="511C9D5D">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Congo</w:t>
            </w:r>
          </w:p>
        </w:tc>
        <w:tc>
          <w:tcPr>
            <w:tcW w:w="1440" w:type="dxa"/>
            <w:shd w:val="clear" w:color="auto" w:fill="auto"/>
            <w:noWrap/>
            <w:vAlign w:val="bottom"/>
          </w:tcPr>
          <w:p w14:paraId="5BD66ACF">
            <w:pPr>
              <w:spacing w:after="0" w:line="240" w:lineRule="auto"/>
              <w:jc w:val="right"/>
              <w:rPr>
                <w:rFonts w:ascii="Garamond" w:hAnsi="Garamond" w:eastAsia="Times New Roman" w:cs="Times New Roman"/>
                <w:color w:val="000000"/>
              </w:rPr>
            </w:pPr>
            <w:r>
              <w:rPr>
                <w:rFonts w:ascii="Garamond" w:hAnsi="Garamond" w:eastAsia="Times New Roman" w:cs="Times New Roman"/>
                <w:color w:val="000000"/>
              </w:rPr>
              <w:t>0774 209801</w:t>
            </w:r>
          </w:p>
        </w:tc>
      </w:tr>
      <w:tr w14:paraId="7EF67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80" w:type="dxa"/>
            <w:shd w:val="clear" w:color="auto" w:fill="auto"/>
            <w:noWrap/>
            <w:vAlign w:val="bottom"/>
          </w:tcPr>
          <w:p w14:paraId="49785E8F">
            <w:pPr>
              <w:spacing w:after="0" w:line="240" w:lineRule="auto"/>
              <w:jc w:val="right"/>
              <w:rPr>
                <w:rFonts w:ascii="Garamond" w:hAnsi="Garamond" w:eastAsia="Times New Roman" w:cs="Times New Roman"/>
                <w:color w:val="000000"/>
              </w:rPr>
            </w:pPr>
            <w:r>
              <w:rPr>
                <w:rFonts w:ascii="Garamond" w:hAnsi="Garamond" w:eastAsia="Times New Roman" w:cs="Times New Roman"/>
                <w:color w:val="000000"/>
              </w:rPr>
              <w:t>9</w:t>
            </w:r>
          </w:p>
        </w:tc>
        <w:tc>
          <w:tcPr>
            <w:tcW w:w="3135" w:type="dxa"/>
            <w:shd w:val="clear" w:color="auto" w:fill="auto"/>
            <w:noWrap/>
            <w:vAlign w:val="bottom"/>
          </w:tcPr>
          <w:p w14:paraId="7032BC37">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Agnes Mulamugena</w:t>
            </w:r>
          </w:p>
        </w:tc>
        <w:tc>
          <w:tcPr>
            <w:tcW w:w="540" w:type="dxa"/>
            <w:shd w:val="clear" w:color="auto" w:fill="auto"/>
            <w:noWrap/>
            <w:vAlign w:val="bottom"/>
          </w:tcPr>
          <w:p w14:paraId="030CD834">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F</w:t>
            </w:r>
          </w:p>
        </w:tc>
        <w:tc>
          <w:tcPr>
            <w:tcW w:w="4230" w:type="dxa"/>
            <w:shd w:val="clear" w:color="auto" w:fill="auto"/>
            <w:noWrap/>
            <w:vAlign w:val="bottom"/>
          </w:tcPr>
          <w:p w14:paraId="3601BB9F">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Agape Refugee Foundation</w:t>
            </w:r>
          </w:p>
        </w:tc>
        <w:tc>
          <w:tcPr>
            <w:tcW w:w="1180" w:type="dxa"/>
            <w:shd w:val="clear" w:color="auto" w:fill="auto"/>
            <w:noWrap/>
            <w:vAlign w:val="bottom"/>
          </w:tcPr>
          <w:p w14:paraId="2F6884A5">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Lubaga</w:t>
            </w:r>
          </w:p>
        </w:tc>
        <w:tc>
          <w:tcPr>
            <w:tcW w:w="1360" w:type="dxa"/>
            <w:shd w:val="clear" w:color="auto" w:fill="auto"/>
            <w:noWrap/>
            <w:vAlign w:val="bottom"/>
          </w:tcPr>
          <w:p w14:paraId="6CADDDA6">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Rwanda</w:t>
            </w:r>
          </w:p>
        </w:tc>
        <w:tc>
          <w:tcPr>
            <w:tcW w:w="1440" w:type="dxa"/>
            <w:shd w:val="clear" w:color="auto" w:fill="auto"/>
            <w:noWrap/>
            <w:vAlign w:val="bottom"/>
          </w:tcPr>
          <w:p w14:paraId="353DD945">
            <w:pPr>
              <w:spacing w:after="0" w:line="240" w:lineRule="auto"/>
              <w:jc w:val="right"/>
              <w:rPr>
                <w:rFonts w:ascii="Garamond" w:hAnsi="Garamond" w:eastAsia="Times New Roman" w:cs="Times New Roman"/>
                <w:color w:val="000000"/>
              </w:rPr>
            </w:pPr>
            <w:r>
              <w:rPr>
                <w:rFonts w:ascii="Garamond" w:hAnsi="Garamond" w:eastAsia="Times New Roman" w:cs="Times New Roman"/>
                <w:color w:val="000000"/>
              </w:rPr>
              <w:t>0701 885864</w:t>
            </w:r>
          </w:p>
        </w:tc>
      </w:tr>
      <w:tr w14:paraId="33453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80" w:type="dxa"/>
            <w:shd w:val="clear" w:color="auto" w:fill="auto"/>
            <w:noWrap/>
            <w:vAlign w:val="bottom"/>
          </w:tcPr>
          <w:p w14:paraId="4360FB36">
            <w:pPr>
              <w:spacing w:after="0" w:line="240" w:lineRule="auto"/>
              <w:jc w:val="right"/>
              <w:rPr>
                <w:rFonts w:ascii="Garamond" w:hAnsi="Garamond" w:eastAsia="Times New Roman" w:cs="Times New Roman"/>
                <w:color w:val="000000"/>
              </w:rPr>
            </w:pPr>
            <w:r>
              <w:rPr>
                <w:rFonts w:ascii="Garamond" w:hAnsi="Garamond" w:eastAsia="Times New Roman" w:cs="Times New Roman"/>
                <w:color w:val="000000"/>
              </w:rPr>
              <w:t>10</w:t>
            </w:r>
          </w:p>
        </w:tc>
        <w:tc>
          <w:tcPr>
            <w:tcW w:w="3135" w:type="dxa"/>
            <w:shd w:val="clear" w:color="auto" w:fill="auto"/>
            <w:noWrap/>
            <w:vAlign w:val="bottom"/>
          </w:tcPr>
          <w:p w14:paraId="1D636F8C">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Appolon Mukakamali</w:t>
            </w:r>
          </w:p>
        </w:tc>
        <w:tc>
          <w:tcPr>
            <w:tcW w:w="540" w:type="dxa"/>
            <w:shd w:val="clear" w:color="auto" w:fill="auto"/>
            <w:noWrap/>
            <w:vAlign w:val="bottom"/>
          </w:tcPr>
          <w:p w14:paraId="6759FD0A">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F</w:t>
            </w:r>
          </w:p>
        </w:tc>
        <w:tc>
          <w:tcPr>
            <w:tcW w:w="4230" w:type="dxa"/>
            <w:shd w:val="clear" w:color="auto" w:fill="auto"/>
            <w:noWrap/>
            <w:vAlign w:val="bottom"/>
          </w:tcPr>
          <w:p w14:paraId="3EBA3073">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Refugee Womens Development Group</w:t>
            </w:r>
          </w:p>
        </w:tc>
        <w:tc>
          <w:tcPr>
            <w:tcW w:w="1180" w:type="dxa"/>
            <w:shd w:val="clear" w:color="auto" w:fill="auto"/>
            <w:noWrap/>
            <w:vAlign w:val="bottom"/>
          </w:tcPr>
          <w:p w14:paraId="3C8876AD">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Lubaga</w:t>
            </w:r>
          </w:p>
        </w:tc>
        <w:tc>
          <w:tcPr>
            <w:tcW w:w="1360" w:type="dxa"/>
            <w:shd w:val="clear" w:color="auto" w:fill="auto"/>
            <w:noWrap/>
            <w:vAlign w:val="bottom"/>
          </w:tcPr>
          <w:p w14:paraId="7D4F6ACD">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Rwanda</w:t>
            </w:r>
          </w:p>
        </w:tc>
        <w:tc>
          <w:tcPr>
            <w:tcW w:w="1440" w:type="dxa"/>
            <w:shd w:val="clear" w:color="auto" w:fill="auto"/>
            <w:noWrap/>
            <w:vAlign w:val="bottom"/>
          </w:tcPr>
          <w:p w14:paraId="3F2E494A">
            <w:pPr>
              <w:spacing w:after="0" w:line="240" w:lineRule="auto"/>
              <w:jc w:val="right"/>
              <w:rPr>
                <w:rFonts w:ascii="Garamond" w:hAnsi="Garamond" w:eastAsia="Times New Roman" w:cs="Times New Roman"/>
                <w:color w:val="000000"/>
              </w:rPr>
            </w:pPr>
            <w:r>
              <w:rPr>
                <w:rFonts w:ascii="Garamond" w:hAnsi="Garamond" w:eastAsia="Times New Roman" w:cs="Times New Roman"/>
                <w:color w:val="000000"/>
              </w:rPr>
              <w:t>0785 463322</w:t>
            </w:r>
          </w:p>
        </w:tc>
      </w:tr>
      <w:tr w14:paraId="622A9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80" w:type="dxa"/>
            <w:shd w:val="clear" w:color="auto" w:fill="auto"/>
            <w:noWrap/>
            <w:vAlign w:val="bottom"/>
          </w:tcPr>
          <w:p w14:paraId="7D37E4BD">
            <w:pPr>
              <w:spacing w:after="0" w:line="240" w:lineRule="auto"/>
              <w:jc w:val="right"/>
              <w:rPr>
                <w:rFonts w:ascii="Garamond" w:hAnsi="Garamond" w:eastAsia="Times New Roman" w:cs="Times New Roman"/>
                <w:color w:val="000000"/>
              </w:rPr>
            </w:pPr>
            <w:r>
              <w:rPr>
                <w:rFonts w:ascii="Garamond" w:hAnsi="Garamond" w:eastAsia="Times New Roman" w:cs="Times New Roman"/>
                <w:color w:val="000000"/>
              </w:rPr>
              <w:t>11</w:t>
            </w:r>
          </w:p>
        </w:tc>
        <w:tc>
          <w:tcPr>
            <w:tcW w:w="3135" w:type="dxa"/>
            <w:shd w:val="clear" w:color="auto" w:fill="auto"/>
            <w:noWrap/>
            <w:vAlign w:val="bottom"/>
          </w:tcPr>
          <w:p w14:paraId="369433C8">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Uwineza Saddick</w:t>
            </w:r>
          </w:p>
        </w:tc>
        <w:tc>
          <w:tcPr>
            <w:tcW w:w="540" w:type="dxa"/>
            <w:shd w:val="clear" w:color="auto" w:fill="auto"/>
            <w:noWrap/>
            <w:vAlign w:val="bottom"/>
          </w:tcPr>
          <w:p w14:paraId="1C209DEE">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F</w:t>
            </w:r>
          </w:p>
        </w:tc>
        <w:tc>
          <w:tcPr>
            <w:tcW w:w="4230" w:type="dxa"/>
            <w:shd w:val="clear" w:color="auto" w:fill="auto"/>
            <w:noWrap/>
            <w:vAlign w:val="bottom"/>
          </w:tcPr>
          <w:p w14:paraId="0FA5EFAA">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Charity Development Group</w:t>
            </w:r>
          </w:p>
        </w:tc>
        <w:tc>
          <w:tcPr>
            <w:tcW w:w="1180" w:type="dxa"/>
            <w:shd w:val="clear" w:color="auto" w:fill="auto"/>
            <w:noWrap/>
            <w:vAlign w:val="bottom"/>
          </w:tcPr>
          <w:p w14:paraId="10350FB3">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Lubaga</w:t>
            </w:r>
          </w:p>
        </w:tc>
        <w:tc>
          <w:tcPr>
            <w:tcW w:w="1360" w:type="dxa"/>
            <w:shd w:val="clear" w:color="auto" w:fill="auto"/>
            <w:noWrap/>
            <w:vAlign w:val="bottom"/>
          </w:tcPr>
          <w:p w14:paraId="525314EC">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Rwanda</w:t>
            </w:r>
          </w:p>
        </w:tc>
        <w:tc>
          <w:tcPr>
            <w:tcW w:w="1440" w:type="dxa"/>
            <w:shd w:val="clear" w:color="auto" w:fill="auto"/>
            <w:noWrap/>
            <w:vAlign w:val="bottom"/>
          </w:tcPr>
          <w:p w14:paraId="4FE630D0">
            <w:pPr>
              <w:spacing w:after="0" w:line="240" w:lineRule="auto"/>
              <w:jc w:val="right"/>
              <w:rPr>
                <w:rFonts w:ascii="Garamond" w:hAnsi="Garamond" w:eastAsia="Times New Roman" w:cs="Times New Roman"/>
                <w:color w:val="000000"/>
              </w:rPr>
            </w:pPr>
            <w:r>
              <w:rPr>
                <w:rFonts w:ascii="Garamond" w:hAnsi="Garamond" w:eastAsia="Times New Roman" w:cs="Times New Roman"/>
                <w:color w:val="000000"/>
              </w:rPr>
              <w:t>0708 606309</w:t>
            </w:r>
          </w:p>
        </w:tc>
      </w:tr>
      <w:tr w14:paraId="1EC6A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80" w:type="dxa"/>
            <w:shd w:val="clear" w:color="auto" w:fill="auto"/>
            <w:noWrap/>
            <w:vAlign w:val="bottom"/>
          </w:tcPr>
          <w:p w14:paraId="6DEB16F5">
            <w:pPr>
              <w:spacing w:after="0" w:line="240" w:lineRule="auto"/>
              <w:jc w:val="right"/>
              <w:rPr>
                <w:rFonts w:ascii="Garamond" w:hAnsi="Garamond" w:eastAsia="Times New Roman" w:cs="Times New Roman"/>
                <w:color w:val="000000"/>
              </w:rPr>
            </w:pPr>
            <w:r>
              <w:rPr>
                <w:rFonts w:ascii="Garamond" w:hAnsi="Garamond" w:eastAsia="Times New Roman" w:cs="Times New Roman"/>
                <w:color w:val="000000"/>
              </w:rPr>
              <w:t>12</w:t>
            </w:r>
          </w:p>
        </w:tc>
        <w:tc>
          <w:tcPr>
            <w:tcW w:w="3135" w:type="dxa"/>
            <w:shd w:val="clear" w:color="auto" w:fill="auto"/>
            <w:noWrap/>
            <w:vAlign w:val="bottom"/>
          </w:tcPr>
          <w:p w14:paraId="476CE3C4">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Kabalega Andrew</w:t>
            </w:r>
          </w:p>
        </w:tc>
        <w:tc>
          <w:tcPr>
            <w:tcW w:w="540" w:type="dxa"/>
            <w:shd w:val="clear" w:color="auto" w:fill="auto"/>
            <w:noWrap/>
            <w:vAlign w:val="bottom"/>
          </w:tcPr>
          <w:p w14:paraId="6E00A83C">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M</w:t>
            </w:r>
          </w:p>
        </w:tc>
        <w:tc>
          <w:tcPr>
            <w:tcW w:w="4230" w:type="dxa"/>
            <w:shd w:val="clear" w:color="auto" w:fill="auto"/>
            <w:noWrap/>
            <w:vAlign w:val="bottom"/>
          </w:tcPr>
          <w:p w14:paraId="02026464">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Urunana Community Savings Group</w:t>
            </w:r>
          </w:p>
        </w:tc>
        <w:tc>
          <w:tcPr>
            <w:tcW w:w="1180" w:type="dxa"/>
            <w:shd w:val="clear" w:color="auto" w:fill="auto"/>
            <w:noWrap/>
            <w:vAlign w:val="bottom"/>
          </w:tcPr>
          <w:p w14:paraId="0E856C0D">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Lubaga</w:t>
            </w:r>
          </w:p>
        </w:tc>
        <w:tc>
          <w:tcPr>
            <w:tcW w:w="1360" w:type="dxa"/>
            <w:shd w:val="clear" w:color="auto" w:fill="auto"/>
            <w:noWrap/>
            <w:vAlign w:val="bottom"/>
          </w:tcPr>
          <w:p w14:paraId="6CC7F9D2">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Rwanda</w:t>
            </w:r>
          </w:p>
        </w:tc>
        <w:tc>
          <w:tcPr>
            <w:tcW w:w="1440" w:type="dxa"/>
            <w:shd w:val="clear" w:color="auto" w:fill="auto"/>
            <w:noWrap/>
            <w:vAlign w:val="bottom"/>
          </w:tcPr>
          <w:p w14:paraId="5D4D8BDA">
            <w:pPr>
              <w:spacing w:after="0" w:line="240" w:lineRule="auto"/>
              <w:jc w:val="right"/>
              <w:rPr>
                <w:rFonts w:ascii="Garamond" w:hAnsi="Garamond" w:eastAsia="Times New Roman" w:cs="Times New Roman"/>
                <w:color w:val="000000"/>
              </w:rPr>
            </w:pPr>
            <w:r>
              <w:rPr>
                <w:rFonts w:ascii="Garamond" w:hAnsi="Garamond" w:eastAsia="Times New Roman" w:cs="Times New Roman"/>
                <w:color w:val="000000"/>
              </w:rPr>
              <w:t>0780 153448</w:t>
            </w:r>
          </w:p>
        </w:tc>
      </w:tr>
      <w:tr w14:paraId="20AAF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80" w:type="dxa"/>
            <w:shd w:val="clear" w:color="auto" w:fill="auto"/>
            <w:noWrap/>
            <w:vAlign w:val="bottom"/>
          </w:tcPr>
          <w:p w14:paraId="3ABCC9B5">
            <w:pPr>
              <w:spacing w:after="0" w:line="240" w:lineRule="auto"/>
              <w:jc w:val="right"/>
              <w:rPr>
                <w:rFonts w:ascii="Garamond" w:hAnsi="Garamond" w:eastAsia="Times New Roman" w:cs="Times New Roman"/>
                <w:color w:val="000000"/>
              </w:rPr>
            </w:pPr>
            <w:r>
              <w:rPr>
                <w:rFonts w:ascii="Garamond" w:hAnsi="Garamond" w:eastAsia="Times New Roman" w:cs="Times New Roman"/>
                <w:color w:val="000000"/>
              </w:rPr>
              <w:t>13</w:t>
            </w:r>
          </w:p>
        </w:tc>
        <w:tc>
          <w:tcPr>
            <w:tcW w:w="3135" w:type="dxa"/>
            <w:shd w:val="clear" w:color="auto" w:fill="auto"/>
            <w:noWrap/>
            <w:vAlign w:val="bottom"/>
          </w:tcPr>
          <w:p w14:paraId="4468F085">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Nayma Awale Hisi</w:t>
            </w:r>
          </w:p>
        </w:tc>
        <w:tc>
          <w:tcPr>
            <w:tcW w:w="540" w:type="dxa"/>
            <w:shd w:val="clear" w:color="auto" w:fill="auto"/>
            <w:noWrap/>
            <w:vAlign w:val="bottom"/>
          </w:tcPr>
          <w:p w14:paraId="524E8B6E">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M</w:t>
            </w:r>
          </w:p>
        </w:tc>
        <w:tc>
          <w:tcPr>
            <w:tcW w:w="4230" w:type="dxa"/>
            <w:shd w:val="clear" w:color="auto" w:fill="auto"/>
            <w:noWrap/>
            <w:vAlign w:val="bottom"/>
          </w:tcPr>
          <w:p w14:paraId="2104D177">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Muno Nuir Saving Group</w:t>
            </w:r>
          </w:p>
        </w:tc>
        <w:tc>
          <w:tcPr>
            <w:tcW w:w="1180" w:type="dxa"/>
            <w:shd w:val="clear" w:color="auto" w:fill="auto"/>
            <w:noWrap/>
            <w:vAlign w:val="bottom"/>
          </w:tcPr>
          <w:p w14:paraId="41DBE1DC">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Central</w:t>
            </w:r>
          </w:p>
        </w:tc>
        <w:tc>
          <w:tcPr>
            <w:tcW w:w="1360" w:type="dxa"/>
            <w:shd w:val="clear" w:color="auto" w:fill="auto"/>
            <w:noWrap/>
            <w:vAlign w:val="bottom"/>
          </w:tcPr>
          <w:p w14:paraId="326D4110">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Somali</w:t>
            </w:r>
          </w:p>
        </w:tc>
        <w:tc>
          <w:tcPr>
            <w:tcW w:w="1440" w:type="dxa"/>
            <w:shd w:val="clear" w:color="auto" w:fill="auto"/>
            <w:noWrap/>
            <w:vAlign w:val="bottom"/>
          </w:tcPr>
          <w:p w14:paraId="76846FEB">
            <w:pPr>
              <w:spacing w:after="0" w:line="240" w:lineRule="auto"/>
              <w:jc w:val="right"/>
              <w:rPr>
                <w:rFonts w:ascii="Garamond" w:hAnsi="Garamond" w:eastAsia="Times New Roman" w:cs="Times New Roman"/>
                <w:color w:val="000000"/>
              </w:rPr>
            </w:pPr>
            <w:r>
              <w:rPr>
                <w:rFonts w:ascii="Garamond" w:hAnsi="Garamond" w:eastAsia="Times New Roman" w:cs="Times New Roman"/>
                <w:color w:val="000000"/>
              </w:rPr>
              <w:t>0776 629056</w:t>
            </w:r>
          </w:p>
        </w:tc>
      </w:tr>
      <w:tr w14:paraId="6E5F9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80" w:type="dxa"/>
            <w:shd w:val="clear" w:color="auto" w:fill="auto"/>
            <w:noWrap/>
            <w:vAlign w:val="bottom"/>
          </w:tcPr>
          <w:p w14:paraId="6A9EBF9A">
            <w:pPr>
              <w:spacing w:after="0" w:line="240" w:lineRule="auto"/>
              <w:jc w:val="right"/>
              <w:rPr>
                <w:rFonts w:ascii="Garamond" w:hAnsi="Garamond" w:eastAsia="Times New Roman" w:cs="Times New Roman"/>
                <w:color w:val="000000"/>
              </w:rPr>
            </w:pPr>
            <w:r>
              <w:rPr>
                <w:rFonts w:ascii="Garamond" w:hAnsi="Garamond" w:eastAsia="Times New Roman" w:cs="Times New Roman"/>
                <w:color w:val="000000"/>
              </w:rPr>
              <w:t>14</w:t>
            </w:r>
          </w:p>
        </w:tc>
        <w:tc>
          <w:tcPr>
            <w:tcW w:w="3135" w:type="dxa"/>
            <w:shd w:val="clear" w:color="auto" w:fill="auto"/>
            <w:noWrap/>
            <w:vAlign w:val="bottom"/>
          </w:tcPr>
          <w:p w14:paraId="66274947">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Mohamed Hassan Abdalkadir</w:t>
            </w:r>
          </w:p>
        </w:tc>
        <w:tc>
          <w:tcPr>
            <w:tcW w:w="540" w:type="dxa"/>
            <w:shd w:val="clear" w:color="auto" w:fill="auto"/>
            <w:noWrap/>
            <w:vAlign w:val="bottom"/>
          </w:tcPr>
          <w:p w14:paraId="3DC0218B">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M</w:t>
            </w:r>
          </w:p>
        </w:tc>
        <w:tc>
          <w:tcPr>
            <w:tcW w:w="4230" w:type="dxa"/>
            <w:shd w:val="clear" w:color="auto" w:fill="auto"/>
            <w:noWrap/>
            <w:vAlign w:val="bottom"/>
          </w:tcPr>
          <w:p w14:paraId="764B5246">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Somali Community Association</w:t>
            </w:r>
          </w:p>
        </w:tc>
        <w:tc>
          <w:tcPr>
            <w:tcW w:w="1180" w:type="dxa"/>
            <w:shd w:val="clear" w:color="auto" w:fill="auto"/>
            <w:noWrap/>
            <w:vAlign w:val="bottom"/>
          </w:tcPr>
          <w:p w14:paraId="32D3463E">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Central</w:t>
            </w:r>
          </w:p>
        </w:tc>
        <w:tc>
          <w:tcPr>
            <w:tcW w:w="1360" w:type="dxa"/>
            <w:shd w:val="clear" w:color="auto" w:fill="auto"/>
            <w:noWrap/>
            <w:vAlign w:val="bottom"/>
          </w:tcPr>
          <w:p w14:paraId="648086FF">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Somali</w:t>
            </w:r>
          </w:p>
        </w:tc>
        <w:tc>
          <w:tcPr>
            <w:tcW w:w="1440" w:type="dxa"/>
            <w:shd w:val="clear" w:color="auto" w:fill="auto"/>
            <w:noWrap/>
            <w:vAlign w:val="bottom"/>
          </w:tcPr>
          <w:p w14:paraId="5889BF58">
            <w:pPr>
              <w:spacing w:after="0" w:line="240" w:lineRule="auto"/>
              <w:jc w:val="right"/>
              <w:rPr>
                <w:rFonts w:ascii="Garamond" w:hAnsi="Garamond" w:eastAsia="Times New Roman" w:cs="Times New Roman"/>
                <w:color w:val="000000"/>
              </w:rPr>
            </w:pPr>
            <w:r>
              <w:rPr>
                <w:rFonts w:ascii="Garamond" w:hAnsi="Garamond" w:eastAsia="Times New Roman" w:cs="Times New Roman"/>
                <w:color w:val="000000"/>
              </w:rPr>
              <w:t>0758 526800</w:t>
            </w:r>
          </w:p>
        </w:tc>
      </w:tr>
      <w:tr w14:paraId="4D9C6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80" w:type="dxa"/>
            <w:shd w:val="clear" w:color="auto" w:fill="auto"/>
            <w:noWrap/>
            <w:vAlign w:val="bottom"/>
          </w:tcPr>
          <w:p w14:paraId="2BE8C03B">
            <w:pPr>
              <w:spacing w:after="0" w:line="240" w:lineRule="auto"/>
              <w:jc w:val="right"/>
              <w:rPr>
                <w:rFonts w:ascii="Garamond" w:hAnsi="Garamond" w:eastAsia="Times New Roman" w:cs="Times New Roman"/>
                <w:color w:val="000000"/>
              </w:rPr>
            </w:pPr>
            <w:r>
              <w:rPr>
                <w:rFonts w:ascii="Garamond" w:hAnsi="Garamond" w:eastAsia="Times New Roman" w:cs="Times New Roman"/>
                <w:color w:val="000000"/>
              </w:rPr>
              <w:t>15</w:t>
            </w:r>
          </w:p>
        </w:tc>
        <w:tc>
          <w:tcPr>
            <w:tcW w:w="3135" w:type="dxa"/>
            <w:shd w:val="clear" w:color="auto" w:fill="auto"/>
            <w:noWrap/>
            <w:vAlign w:val="bottom"/>
          </w:tcPr>
          <w:p w14:paraId="1873042B">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Dhaah Ali Hashi</w:t>
            </w:r>
          </w:p>
        </w:tc>
        <w:tc>
          <w:tcPr>
            <w:tcW w:w="540" w:type="dxa"/>
            <w:shd w:val="clear" w:color="auto" w:fill="auto"/>
            <w:noWrap/>
            <w:vAlign w:val="bottom"/>
          </w:tcPr>
          <w:p w14:paraId="2A268136">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M</w:t>
            </w:r>
          </w:p>
        </w:tc>
        <w:tc>
          <w:tcPr>
            <w:tcW w:w="4230" w:type="dxa"/>
            <w:shd w:val="clear" w:color="auto" w:fill="auto"/>
            <w:noWrap/>
            <w:vAlign w:val="bottom"/>
          </w:tcPr>
          <w:p w14:paraId="3720F772">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Aidar Refugee Group</w:t>
            </w:r>
          </w:p>
        </w:tc>
        <w:tc>
          <w:tcPr>
            <w:tcW w:w="1180" w:type="dxa"/>
            <w:shd w:val="clear" w:color="auto" w:fill="auto"/>
            <w:noWrap/>
            <w:vAlign w:val="bottom"/>
          </w:tcPr>
          <w:p w14:paraId="6A161C4C">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Central</w:t>
            </w:r>
          </w:p>
        </w:tc>
        <w:tc>
          <w:tcPr>
            <w:tcW w:w="1360" w:type="dxa"/>
            <w:shd w:val="clear" w:color="auto" w:fill="auto"/>
            <w:noWrap/>
            <w:vAlign w:val="bottom"/>
          </w:tcPr>
          <w:p w14:paraId="46F32026">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Somali</w:t>
            </w:r>
          </w:p>
        </w:tc>
        <w:tc>
          <w:tcPr>
            <w:tcW w:w="1440" w:type="dxa"/>
            <w:shd w:val="clear" w:color="auto" w:fill="auto"/>
            <w:noWrap/>
            <w:vAlign w:val="bottom"/>
          </w:tcPr>
          <w:p w14:paraId="0B33E894">
            <w:pPr>
              <w:spacing w:after="0" w:line="240" w:lineRule="auto"/>
              <w:jc w:val="right"/>
              <w:rPr>
                <w:rFonts w:ascii="Garamond" w:hAnsi="Garamond" w:eastAsia="Times New Roman" w:cs="Times New Roman"/>
                <w:color w:val="000000"/>
              </w:rPr>
            </w:pPr>
            <w:r>
              <w:rPr>
                <w:rFonts w:ascii="Garamond" w:hAnsi="Garamond" w:eastAsia="Times New Roman" w:cs="Times New Roman"/>
                <w:color w:val="000000"/>
              </w:rPr>
              <w:t>0744 507177</w:t>
            </w:r>
          </w:p>
        </w:tc>
      </w:tr>
      <w:tr w14:paraId="503A7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80" w:type="dxa"/>
            <w:shd w:val="clear" w:color="auto" w:fill="auto"/>
            <w:noWrap/>
            <w:vAlign w:val="bottom"/>
          </w:tcPr>
          <w:p w14:paraId="772622CB">
            <w:pPr>
              <w:spacing w:after="0" w:line="240" w:lineRule="auto"/>
              <w:jc w:val="right"/>
              <w:rPr>
                <w:rFonts w:ascii="Garamond" w:hAnsi="Garamond" w:eastAsia="Times New Roman" w:cs="Times New Roman"/>
                <w:color w:val="000000"/>
              </w:rPr>
            </w:pPr>
            <w:r>
              <w:rPr>
                <w:rFonts w:ascii="Garamond" w:hAnsi="Garamond" w:eastAsia="Times New Roman" w:cs="Times New Roman"/>
                <w:color w:val="000000"/>
              </w:rPr>
              <w:t>16</w:t>
            </w:r>
          </w:p>
        </w:tc>
        <w:tc>
          <w:tcPr>
            <w:tcW w:w="3135" w:type="dxa"/>
            <w:shd w:val="clear" w:color="auto" w:fill="auto"/>
            <w:noWrap/>
            <w:vAlign w:val="bottom"/>
          </w:tcPr>
          <w:p w14:paraId="7CB26848">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Fatuma Njundi Sulaina</w:t>
            </w:r>
          </w:p>
        </w:tc>
        <w:tc>
          <w:tcPr>
            <w:tcW w:w="540" w:type="dxa"/>
            <w:shd w:val="clear" w:color="auto" w:fill="auto"/>
            <w:noWrap/>
            <w:vAlign w:val="bottom"/>
          </w:tcPr>
          <w:p w14:paraId="45BD210D">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F</w:t>
            </w:r>
          </w:p>
        </w:tc>
        <w:tc>
          <w:tcPr>
            <w:tcW w:w="4230" w:type="dxa"/>
            <w:shd w:val="clear" w:color="auto" w:fill="auto"/>
            <w:noWrap/>
            <w:vAlign w:val="bottom"/>
          </w:tcPr>
          <w:p w14:paraId="4CF6184B">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Blue Nile youth Development Group</w:t>
            </w:r>
          </w:p>
        </w:tc>
        <w:tc>
          <w:tcPr>
            <w:tcW w:w="1180" w:type="dxa"/>
            <w:shd w:val="clear" w:color="auto" w:fill="auto"/>
            <w:noWrap/>
            <w:vAlign w:val="bottom"/>
          </w:tcPr>
          <w:p w14:paraId="6C38B4E2">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Makindye</w:t>
            </w:r>
          </w:p>
        </w:tc>
        <w:tc>
          <w:tcPr>
            <w:tcW w:w="1360" w:type="dxa"/>
            <w:shd w:val="clear" w:color="auto" w:fill="auto"/>
            <w:noWrap/>
            <w:vAlign w:val="bottom"/>
          </w:tcPr>
          <w:p w14:paraId="40B75366">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 xml:space="preserve">Sudanese  </w:t>
            </w:r>
          </w:p>
        </w:tc>
        <w:tc>
          <w:tcPr>
            <w:tcW w:w="1440" w:type="dxa"/>
            <w:shd w:val="clear" w:color="auto" w:fill="auto"/>
            <w:noWrap/>
            <w:vAlign w:val="bottom"/>
          </w:tcPr>
          <w:p w14:paraId="405D135A">
            <w:pPr>
              <w:spacing w:after="0" w:line="240" w:lineRule="auto"/>
              <w:jc w:val="right"/>
              <w:rPr>
                <w:rFonts w:ascii="Garamond" w:hAnsi="Garamond" w:eastAsia="Times New Roman" w:cs="Times New Roman"/>
                <w:color w:val="000000"/>
              </w:rPr>
            </w:pPr>
            <w:r>
              <w:rPr>
                <w:rFonts w:ascii="Garamond" w:hAnsi="Garamond" w:eastAsia="Times New Roman" w:cs="Times New Roman"/>
                <w:color w:val="000000"/>
              </w:rPr>
              <w:t>0789 939209</w:t>
            </w:r>
          </w:p>
        </w:tc>
      </w:tr>
      <w:tr w14:paraId="0BC23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80" w:type="dxa"/>
            <w:shd w:val="clear" w:color="auto" w:fill="auto"/>
            <w:noWrap/>
            <w:vAlign w:val="bottom"/>
          </w:tcPr>
          <w:p w14:paraId="726A2A45">
            <w:pPr>
              <w:spacing w:after="0" w:line="240" w:lineRule="auto"/>
              <w:jc w:val="right"/>
              <w:rPr>
                <w:rFonts w:ascii="Garamond" w:hAnsi="Garamond" w:eastAsia="Times New Roman" w:cs="Times New Roman"/>
                <w:color w:val="000000"/>
              </w:rPr>
            </w:pPr>
            <w:r>
              <w:rPr>
                <w:rFonts w:ascii="Garamond" w:hAnsi="Garamond" w:eastAsia="Times New Roman" w:cs="Times New Roman"/>
                <w:color w:val="000000"/>
              </w:rPr>
              <w:t>17</w:t>
            </w:r>
          </w:p>
        </w:tc>
        <w:tc>
          <w:tcPr>
            <w:tcW w:w="3135" w:type="dxa"/>
            <w:shd w:val="clear" w:color="auto" w:fill="auto"/>
            <w:noWrap/>
            <w:vAlign w:val="bottom"/>
          </w:tcPr>
          <w:p w14:paraId="2393D710">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Hajir Elbadani</w:t>
            </w:r>
          </w:p>
        </w:tc>
        <w:tc>
          <w:tcPr>
            <w:tcW w:w="540" w:type="dxa"/>
            <w:shd w:val="clear" w:color="auto" w:fill="auto"/>
            <w:noWrap/>
            <w:vAlign w:val="bottom"/>
          </w:tcPr>
          <w:p w14:paraId="223DD310">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M</w:t>
            </w:r>
          </w:p>
        </w:tc>
        <w:tc>
          <w:tcPr>
            <w:tcW w:w="4230" w:type="dxa"/>
            <w:shd w:val="clear" w:color="auto" w:fill="auto"/>
            <w:noWrap/>
            <w:vAlign w:val="bottom"/>
          </w:tcPr>
          <w:p w14:paraId="0D40DDCA">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Mantairs sudanese community in K'la</w:t>
            </w:r>
          </w:p>
        </w:tc>
        <w:tc>
          <w:tcPr>
            <w:tcW w:w="1180" w:type="dxa"/>
            <w:shd w:val="clear" w:color="auto" w:fill="auto"/>
            <w:noWrap/>
            <w:vAlign w:val="bottom"/>
          </w:tcPr>
          <w:p w14:paraId="2C9D342E">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Makindye</w:t>
            </w:r>
          </w:p>
        </w:tc>
        <w:tc>
          <w:tcPr>
            <w:tcW w:w="1360" w:type="dxa"/>
            <w:shd w:val="clear" w:color="auto" w:fill="auto"/>
            <w:noWrap/>
            <w:vAlign w:val="bottom"/>
          </w:tcPr>
          <w:p w14:paraId="3CDFE777">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Sudanese</w:t>
            </w:r>
          </w:p>
        </w:tc>
        <w:tc>
          <w:tcPr>
            <w:tcW w:w="1440" w:type="dxa"/>
            <w:shd w:val="clear" w:color="auto" w:fill="auto"/>
            <w:noWrap/>
            <w:vAlign w:val="bottom"/>
          </w:tcPr>
          <w:p w14:paraId="1D269E51">
            <w:pPr>
              <w:spacing w:after="0" w:line="240" w:lineRule="auto"/>
              <w:jc w:val="right"/>
              <w:rPr>
                <w:rFonts w:ascii="Garamond" w:hAnsi="Garamond" w:eastAsia="Times New Roman" w:cs="Times New Roman"/>
                <w:color w:val="000000"/>
              </w:rPr>
            </w:pPr>
            <w:r>
              <w:rPr>
                <w:rFonts w:ascii="Garamond" w:hAnsi="Garamond" w:eastAsia="Times New Roman" w:cs="Times New Roman"/>
                <w:color w:val="000000"/>
              </w:rPr>
              <w:t>0773 366677</w:t>
            </w:r>
          </w:p>
        </w:tc>
      </w:tr>
      <w:tr w14:paraId="182A7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80" w:type="dxa"/>
            <w:shd w:val="clear" w:color="auto" w:fill="auto"/>
            <w:noWrap/>
            <w:vAlign w:val="bottom"/>
          </w:tcPr>
          <w:p w14:paraId="0636521D">
            <w:pPr>
              <w:spacing w:after="0" w:line="240" w:lineRule="auto"/>
              <w:jc w:val="right"/>
              <w:rPr>
                <w:rFonts w:ascii="Garamond" w:hAnsi="Garamond" w:eastAsia="Times New Roman" w:cs="Times New Roman"/>
                <w:color w:val="000000"/>
              </w:rPr>
            </w:pPr>
            <w:r>
              <w:rPr>
                <w:rFonts w:ascii="Garamond" w:hAnsi="Garamond" w:eastAsia="Times New Roman" w:cs="Times New Roman"/>
                <w:color w:val="000000"/>
              </w:rPr>
              <w:t>18</w:t>
            </w:r>
          </w:p>
        </w:tc>
        <w:tc>
          <w:tcPr>
            <w:tcW w:w="3135" w:type="dxa"/>
            <w:shd w:val="clear" w:color="auto" w:fill="auto"/>
            <w:noWrap/>
            <w:vAlign w:val="bottom"/>
          </w:tcPr>
          <w:p w14:paraId="3D960EB5">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Adam Ahmed  Abdallah</w:t>
            </w:r>
          </w:p>
        </w:tc>
        <w:tc>
          <w:tcPr>
            <w:tcW w:w="540" w:type="dxa"/>
            <w:shd w:val="clear" w:color="auto" w:fill="auto"/>
            <w:noWrap/>
            <w:vAlign w:val="bottom"/>
          </w:tcPr>
          <w:p w14:paraId="2EEAE27F">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F</w:t>
            </w:r>
          </w:p>
        </w:tc>
        <w:tc>
          <w:tcPr>
            <w:tcW w:w="4230" w:type="dxa"/>
            <w:shd w:val="clear" w:color="auto" w:fill="auto"/>
            <w:noWrap/>
            <w:vAlign w:val="bottom"/>
          </w:tcPr>
          <w:p w14:paraId="48A949BC">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Makerere</w:t>
            </w:r>
          </w:p>
        </w:tc>
        <w:tc>
          <w:tcPr>
            <w:tcW w:w="1180" w:type="dxa"/>
            <w:shd w:val="clear" w:color="auto" w:fill="auto"/>
            <w:noWrap/>
            <w:vAlign w:val="bottom"/>
          </w:tcPr>
          <w:p w14:paraId="51880111">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Central</w:t>
            </w:r>
          </w:p>
        </w:tc>
        <w:tc>
          <w:tcPr>
            <w:tcW w:w="1360" w:type="dxa"/>
            <w:shd w:val="clear" w:color="auto" w:fill="auto"/>
            <w:noWrap/>
            <w:vAlign w:val="bottom"/>
          </w:tcPr>
          <w:p w14:paraId="4CCD7481">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Sudanese</w:t>
            </w:r>
          </w:p>
        </w:tc>
        <w:tc>
          <w:tcPr>
            <w:tcW w:w="1440" w:type="dxa"/>
            <w:shd w:val="clear" w:color="auto" w:fill="auto"/>
            <w:noWrap/>
            <w:vAlign w:val="bottom"/>
          </w:tcPr>
          <w:p w14:paraId="472E9FA4">
            <w:pPr>
              <w:spacing w:after="0" w:line="240" w:lineRule="auto"/>
              <w:jc w:val="right"/>
              <w:rPr>
                <w:rFonts w:ascii="Garamond" w:hAnsi="Garamond" w:eastAsia="Times New Roman" w:cs="Times New Roman"/>
                <w:color w:val="000000"/>
              </w:rPr>
            </w:pPr>
            <w:r>
              <w:rPr>
                <w:rFonts w:ascii="Garamond" w:hAnsi="Garamond" w:eastAsia="Times New Roman" w:cs="Times New Roman"/>
                <w:color w:val="000000"/>
              </w:rPr>
              <w:t>0774 303869</w:t>
            </w:r>
          </w:p>
        </w:tc>
      </w:tr>
      <w:tr w14:paraId="0ED6D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80" w:type="dxa"/>
            <w:shd w:val="clear" w:color="auto" w:fill="auto"/>
            <w:noWrap/>
            <w:vAlign w:val="bottom"/>
          </w:tcPr>
          <w:p w14:paraId="3724749F">
            <w:pPr>
              <w:spacing w:after="0" w:line="240" w:lineRule="auto"/>
              <w:jc w:val="right"/>
              <w:rPr>
                <w:rFonts w:ascii="Garamond" w:hAnsi="Garamond" w:eastAsia="Times New Roman" w:cs="Times New Roman"/>
                <w:color w:val="000000"/>
              </w:rPr>
            </w:pPr>
            <w:r>
              <w:rPr>
                <w:rFonts w:ascii="Garamond" w:hAnsi="Garamond" w:eastAsia="Times New Roman" w:cs="Times New Roman"/>
                <w:color w:val="000000"/>
              </w:rPr>
              <w:t>19</w:t>
            </w:r>
          </w:p>
        </w:tc>
        <w:tc>
          <w:tcPr>
            <w:tcW w:w="3135" w:type="dxa"/>
            <w:shd w:val="clear" w:color="auto" w:fill="auto"/>
            <w:noWrap/>
            <w:vAlign w:val="bottom"/>
          </w:tcPr>
          <w:p w14:paraId="2B00F346">
            <w:pPr>
              <w:spacing w:after="0" w:line="240" w:lineRule="auto"/>
              <w:rPr>
                <w:rFonts w:ascii="Garamond" w:hAnsi="Garamond" w:eastAsia="Times New Roman" w:cs="Times New Roman"/>
                <w:color w:val="000000"/>
              </w:rPr>
            </w:pPr>
            <w:r>
              <w:rPr>
                <w:rFonts w:ascii="Garamond" w:hAnsi="Garamond" w:eastAsia="Times New Roman" w:cs="Times New Roman"/>
                <w:color w:val="000000"/>
              </w:rPr>
              <w:t>Anek Agnes Odong</w:t>
            </w:r>
          </w:p>
        </w:tc>
        <w:tc>
          <w:tcPr>
            <w:tcW w:w="540" w:type="dxa"/>
            <w:shd w:val="clear" w:color="auto" w:fill="auto"/>
            <w:noWrap/>
            <w:vAlign w:val="bottom"/>
          </w:tcPr>
          <w:p w14:paraId="50D39077">
            <w:pPr>
              <w:spacing w:after="0" w:line="240" w:lineRule="auto"/>
              <w:rPr>
                <w:rFonts w:ascii="Garamond" w:hAnsi="Garamond" w:eastAsia="Times New Roman" w:cs="Times New Roman"/>
                <w:color w:val="000000"/>
              </w:rPr>
            </w:pPr>
            <w:r>
              <w:rPr>
                <w:rFonts w:ascii="Garamond" w:hAnsi="Garamond" w:eastAsia="Times New Roman" w:cs="Times New Roman"/>
                <w:color w:val="000000"/>
              </w:rPr>
              <w:t>F</w:t>
            </w:r>
          </w:p>
        </w:tc>
        <w:tc>
          <w:tcPr>
            <w:tcW w:w="4230" w:type="dxa"/>
            <w:shd w:val="clear" w:color="auto" w:fill="auto"/>
            <w:noWrap/>
            <w:vAlign w:val="bottom"/>
          </w:tcPr>
          <w:p w14:paraId="017A7F92">
            <w:pPr>
              <w:spacing w:after="0" w:line="240" w:lineRule="auto"/>
              <w:rPr>
                <w:rFonts w:ascii="Garamond" w:hAnsi="Garamond" w:eastAsia="Times New Roman" w:cs="Times New Roman"/>
                <w:color w:val="000000"/>
              </w:rPr>
            </w:pPr>
            <w:r>
              <w:rPr>
                <w:rFonts w:ascii="Garamond" w:hAnsi="Garamond" w:eastAsia="Times New Roman" w:cs="Times New Roman"/>
                <w:color w:val="000000"/>
              </w:rPr>
              <w:t>Kabalagala Kiwaffu Women Devt Group</w:t>
            </w:r>
          </w:p>
        </w:tc>
        <w:tc>
          <w:tcPr>
            <w:tcW w:w="1180" w:type="dxa"/>
            <w:shd w:val="clear" w:color="auto" w:fill="auto"/>
            <w:noWrap/>
            <w:vAlign w:val="bottom"/>
          </w:tcPr>
          <w:p w14:paraId="6EFAFEA7">
            <w:pPr>
              <w:spacing w:after="0" w:line="240" w:lineRule="auto"/>
              <w:rPr>
                <w:rFonts w:ascii="Garamond" w:hAnsi="Garamond" w:eastAsia="Times New Roman" w:cs="Times New Roman"/>
                <w:color w:val="000000"/>
              </w:rPr>
            </w:pPr>
            <w:r>
              <w:rPr>
                <w:rFonts w:ascii="Garamond" w:hAnsi="Garamond" w:eastAsia="Times New Roman" w:cs="Times New Roman"/>
                <w:color w:val="000000"/>
              </w:rPr>
              <w:t>Makindye</w:t>
            </w:r>
          </w:p>
        </w:tc>
        <w:tc>
          <w:tcPr>
            <w:tcW w:w="1360" w:type="dxa"/>
            <w:shd w:val="clear" w:color="auto" w:fill="auto"/>
            <w:noWrap/>
            <w:vAlign w:val="bottom"/>
          </w:tcPr>
          <w:p w14:paraId="37E49601">
            <w:pPr>
              <w:spacing w:after="0" w:line="240" w:lineRule="auto"/>
              <w:rPr>
                <w:rFonts w:ascii="Garamond" w:hAnsi="Garamond" w:eastAsia="Times New Roman" w:cs="Times New Roman"/>
                <w:color w:val="000000"/>
              </w:rPr>
            </w:pPr>
            <w:r>
              <w:rPr>
                <w:rFonts w:ascii="Garamond" w:hAnsi="Garamond" w:eastAsia="Times New Roman" w:cs="Times New Roman"/>
                <w:color w:val="000000"/>
              </w:rPr>
              <w:t>Ugandan</w:t>
            </w:r>
          </w:p>
        </w:tc>
        <w:tc>
          <w:tcPr>
            <w:tcW w:w="1440" w:type="dxa"/>
            <w:shd w:val="clear" w:color="auto" w:fill="auto"/>
            <w:noWrap/>
            <w:vAlign w:val="bottom"/>
          </w:tcPr>
          <w:p w14:paraId="075715EE">
            <w:pPr>
              <w:spacing w:after="0" w:line="240" w:lineRule="auto"/>
              <w:jc w:val="right"/>
              <w:rPr>
                <w:rFonts w:ascii="Garamond" w:hAnsi="Garamond" w:eastAsia="Times New Roman" w:cs="Times New Roman"/>
                <w:color w:val="000000"/>
              </w:rPr>
            </w:pPr>
            <w:r>
              <w:rPr>
                <w:rFonts w:ascii="Garamond" w:hAnsi="Garamond" w:eastAsia="Times New Roman" w:cs="Times New Roman"/>
                <w:color w:val="000000"/>
              </w:rPr>
              <w:t>0789 390585</w:t>
            </w:r>
          </w:p>
        </w:tc>
      </w:tr>
      <w:tr w14:paraId="53F82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80" w:type="dxa"/>
            <w:shd w:val="clear" w:color="auto" w:fill="auto"/>
            <w:noWrap/>
            <w:vAlign w:val="bottom"/>
          </w:tcPr>
          <w:p w14:paraId="238E217D">
            <w:pPr>
              <w:spacing w:after="0" w:line="240" w:lineRule="auto"/>
              <w:jc w:val="right"/>
              <w:rPr>
                <w:rFonts w:ascii="Garamond" w:hAnsi="Garamond" w:eastAsia="Times New Roman" w:cs="Times New Roman"/>
                <w:color w:val="000000"/>
              </w:rPr>
            </w:pPr>
            <w:r>
              <w:rPr>
                <w:rFonts w:ascii="Garamond" w:hAnsi="Garamond" w:eastAsia="Times New Roman" w:cs="Times New Roman"/>
                <w:color w:val="000000"/>
              </w:rPr>
              <w:t>20</w:t>
            </w:r>
          </w:p>
        </w:tc>
        <w:tc>
          <w:tcPr>
            <w:tcW w:w="3135" w:type="dxa"/>
            <w:shd w:val="clear" w:color="auto" w:fill="auto"/>
            <w:noWrap/>
            <w:vAlign w:val="bottom"/>
          </w:tcPr>
          <w:p w14:paraId="0C1765DB">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Katutu Betty</w:t>
            </w:r>
          </w:p>
        </w:tc>
        <w:tc>
          <w:tcPr>
            <w:tcW w:w="540" w:type="dxa"/>
            <w:shd w:val="clear" w:color="auto" w:fill="auto"/>
            <w:noWrap/>
            <w:vAlign w:val="bottom"/>
          </w:tcPr>
          <w:p w14:paraId="0ED06665">
            <w:pPr>
              <w:spacing w:after="0" w:line="240" w:lineRule="auto"/>
              <w:rPr>
                <w:rFonts w:ascii="Garamond" w:hAnsi="Garamond" w:eastAsia="Times New Roman" w:cs="Times New Roman"/>
                <w:color w:val="000000"/>
              </w:rPr>
            </w:pPr>
            <w:r>
              <w:rPr>
                <w:rFonts w:ascii="Garamond" w:hAnsi="Garamond" w:eastAsia="Times New Roman" w:cs="Times New Roman"/>
                <w:color w:val="000000"/>
              </w:rPr>
              <w:t>F</w:t>
            </w:r>
          </w:p>
        </w:tc>
        <w:tc>
          <w:tcPr>
            <w:tcW w:w="4230" w:type="dxa"/>
            <w:shd w:val="clear" w:color="auto" w:fill="auto"/>
            <w:noWrap/>
            <w:vAlign w:val="bottom"/>
          </w:tcPr>
          <w:p w14:paraId="072C242F">
            <w:pPr>
              <w:spacing w:after="0" w:line="240" w:lineRule="auto"/>
              <w:rPr>
                <w:rFonts w:ascii="Garamond" w:hAnsi="Garamond" w:eastAsia="Times New Roman" w:cs="Times New Roman"/>
                <w:color w:val="000000"/>
              </w:rPr>
            </w:pPr>
            <w:r>
              <w:rPr>
                <w:rFonts w:ascii="Garamond" w:hAnsi="Garamond" w:eastAsia="Times New Roman" w:cs="Times New Roman"/>
                <w:color w:val="000000"/>
              </w:rPr>
              <w:t>Mukama wa Buyinza Womens Group</w:t>
            </w:r>
          </w:p>
        </w:tc>
        <w:tc>
          <w:tcPr>
            <w:tcW w:w="1180" w:type="dxa"/>
            <w:shd w:val="clear" w:color="auto" w:fill="auto"/>
            <w:noWrap/>
            <w:vAlign w:val="bottom"/>
          </w:tcPr>
          <w:p w14:paraId="3642D9E3">
            <w:pPr>
              <w:spacing w:after="0" w:line="240" w:lineRule="auto"/>
              <w:rPr>
                <w:rFonts w:ascii="Garamond" w:hAnsi="Garamond" w:eastAsia="Times New Roman" w:cs="Times New Roman"/>
                <w:color w:val="000000"/>
              </w:rPr>
            </w:pPr>
            <w:r>
              <w:rPr>
                <w:rFonts w:ascii="Garamond" w:hAnsi="Garamond" w:eastAsia="Times New Roman" w:cs="Times New Roman"/>
                <w:color w:val="000000"/>
              </w:rPr>
              <w:t>Makindye</w:t>
            </w:r>
          </w:p>
        </w:tc>
        <w:tc>
          <w:tcPr>
            <w:tcW w:w="1360" w:type="dxa"/>
            <w:shd w:val="clear" w:color="auto" w:fill="auto"/>
            <w:noWrap/>
            <w:vAlign w:val="bottom"/>
          </w:tcPr>
          <w:p w14:paraId="65E552AB">
            <w:pPr>
              <w:spacing w:after="0" w:line="240" w:lineRule="auto"/>
              <w:rPr>
                <w:rFonts w:ascii="Garamond" w:hAnsi="Garamond" w:eastAsia="Times New Roman" w:cs="Times New Roman"/>
                <w:color w:val="000000"/>
              </w:rPr>
            </w:pPr>
            <w:r>
              <w:rPr>
                <w:rFonts w:ascii="Garamond" w:hAnsi="Garamond" w:eastAsia="Times New Roman" w:cs="Times New Roman"/>
                <w:color w:val="000000"/>
              </w:rPr>
              <w:t>Ugandan</w:t>
            </w:r>
          </w:p>
        </w:tc>
        <w:tc>
          <w:tcPr>
            <w:tcW w:w="1440" w:type="dxa"/>
            <w:shd w:val="clear" w:color="auto" w:fill="auto"/>
            <w:noWrap/>
            <w:vAlign w:val="bottom"/>
          </w:tcPr>
          <w:p w14:paraId="7B2AF616">
            <w:pPr>
              <w:spacing w:after="0" w:line="240" w:lineRule="auto"/>
              <w:jc w:val="right"/>
              <w:rPr>
                <w:rFonts w:ascii="Garamond" w:hAnsi="Garamond" w:eastAsia="Times New Roman" w:cs="Times New Roman"/>
                <w:color w:val="000000"/>
              </w:rPr>
            </w:pPr>
            <w:r>
              <w:rPr>
                <w:rFonts w:ascii="Garamond" w:hAnsi="Garamond" w:eastAsia="Times New Roman" w:cs="Times New Roman"/>
                <w:color w:val="000000"/>
              </w:rPr>
              <w:t>0776 585096</w:t>
            </w:r>
          </w:p>
        </w:tc>
      </w:tr>
      <w:tr w14:paraId="7D8F2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80" w:type="dxa"/>
            <w:shd w:val="clear" w:color="auto" w:fill="auto"/>
            <w:noWrap/>
            <w:vAlign w:val="bottom"/>
          </w:tcPr>
          <w:p w14:paraId="62ECEC6F">
            <w:pPr>
              <w:spacing w:after="0" w:line="240" w:lineRule="auto"/>
              <w:jc w:val="right"/>
              <w:rPr>
                <w:rFonts w:ascii="Garamond" w:hAnsi="Garamond" w:eastAsia="Times New Roman" w:cs="Times New Roman"/>
                <w:color w:val="000000"/>
              </w:rPr>
            </w:pPr>
            <w:r>
              <w:rPr>
                <w:rFonts w:ascii="Garamond" w:hAnsi="Garamond" w:eastAsia="Times New Roman" w:cs="Times New Roman"/>
                <w:color w:val="000000"/>
              </w:rPr>
              <w:t>21</w:t>
            </w:r>
          </w:p>
        </w:tc>
        <w:tc>
          <w:tcPr>
            <w:tcW w:w="3135" w:type="dxa"/>
            <w:shd w:val="clear" w:color="auto" w:fill="auto"/>
            <w:noWrap/>
            <w:vAlign w:val="bottom"/>
          </w:tcPr>
          <w:p w14:paraId="526BD29C">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Nanyango Sarah</w:t>
            </w:r>
          </w:p>
        </w:tc>
        <w:tc>
          <w:tcPr>
            <w:tcW w:w="540" w:type="dxa"/>
            <w:shd w:val="clear" w:color="auto" w:fill="auto"/>
            <w:noWrap/>
            <w:vAlign w:val="bottom"/>
          </w:tcPr>
          <w:p w14:paraId="0D9678B9">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F</w:t>
            </w:r>
          </w:p>
        </w:tc>
        <w:tc>
          <w:tcPr>
            <w:tcW w:w="4230" w:type="dxa"/>
            <w:shd w:val="clear" w:color="auto" w:fill="auto"/>
            <w:noWrap/>
            <w:vAlign w:val="bottom"/>
          </w:tcPr>
          <w:p w14:paraId="43CFC73C">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Kwagalana Devt Group</w:t>
            </w:r>
          </w:p>
        </w:tc>
        <w:tc>
          <w:tcPr>
            <w:tcW w:w="1180" w:type="dxa"/>
            <w:shd w:val="clear" w:color="auto" w:fill="auto"/>
            <w:noWrap/>
            <w:vAlign w:val="bottom"/>
          </w:tcPr>
          <w:p w14:paraId="3412F1B3">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Makindye</w:t>
            </w:r>
          </w:p>
        </w:tc>
        <w:tc>
          <w:tcPr>
            <w:tcW w:w="1360" w:type="dxa"/>
            <w:shd w:val="clear" w:color="auto" w:fill="auto"/>
            <w:noWrap/>
            <w:vAlign w:val="bottom"/>
          </w:tcPr>
          <w:p w14:paraId="703B1CEC">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Ugandan</w:t>
            </w:r>
          </w:p>
        </w:tc>
        <w:tc>
          <w:tcPr>
            <w:tcW w:w="1440" w:type="dxa"/>
            <w:shd w:val="clear" w:color="auto" w:fill="auto"/>
            <w:noWrap/>
            <w:vAlign w:val="bottom"/>
          </w:tcPr>
          <w:p w14:paraId="6A4615A1">
            <w:pPr>
              <w:spacing w:after="0" w:line="240" w:lineRule="auto"/>
              <w:jc w:val="right"/>
              <w:rPr>
                <w:rFonts w:ascii="Garamond" w:hAnsi="Garamond" w:eastAsia="Times New Roman" w:cs="Times New Roman"/>
                <w:color w:val="000000"/>
              </w:rPr>
            </w:pPr>
            <w:r>
              <w:rPr>
                <w:rFonts w:ascii="Garamond" w:hAnsi="Garamond" w:eastAsia="Times New Roman" w:cs="Times New Roman"/>
                <w:color w:val="000000"/>
              </w:rPr>
              <w:t>0704 660597</w:t>
            </w:r>
          </w:p>
        </w:tc>
      </w:tr>
      <w:tr w14:paraId="42748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80" w:type="dxa"/>
            <w:shd w:val="clear" w:color="auto" w:fill="auto"/>
            <w:noWrap/>
            <w:vAlign w:val="bottom"/>
          </w:tcPr>
          <w:p w14:paraId="7C83E2E9">
            <w:pPr>
              <w:spacing w:after="0" w:line="240" w:lineRule="auto"/>
              <w:jc w:val="right"/>
              <w:rPr>
                <w:rFonts w:ascii="Garamond" w:hAnsi="Garamond" w:eastAsia="Times New Roman" w:cs="Times New Roman"/>
                <w:color w:val="000000"/>
              </w:rPr>
            </w:pPr>
            <w:r>
              <w:rPr>
                <w:rFonts w:ascii="Garamond" w:hAnsi="Garamond" w:eastAsia="Times New Roman" w:cs="Times New Roman"/>
                <w:color w:val="000000"/>
              </w:rPr>
              <w:t>22</w:t>
            </w:r>
          </w:p>
        </w:tc>
        <w:tc>
          <w:tcPr>
            <w:tcW w:w="3135" w:type="dxa"/>
            <w:shd w:val="clear" w:color="auto" w:fill="auto"/>
            <w:noWrap/>
            <w:vAlign w:val="bottom"/>
          </w:tcPr>
          <w:p w14:paraId="1C46425C">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kaddu Justine</w:t>
            </w:r>
          </w:p>
        </w:tc>
        <w:tc>
          <w:tcPr>
            <w:tcW w:w="540" w:type="dxa"/>
            <w:shd w:val="clear" w:color="auto" w:fill="auto"/>
            <w:noWrap/>
            <w:vAlign w:val="bottom"/>
          </w:tcPr>
          <w:p w14:paraId="6E803549">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F</w:t>
            </w:r>
          </w:p>
        </w:tc>
        <w:tc>
          <w:tcPr>
            <w:tcW w:w="4230" w:type="dxa"/>
            <w:shd w:val="clear" w:color="auto" w:fill="auto"/>
            <w:noWrap/>
            <w:vAlign w:val="bottom"/>
          </w:tcPr>
          <w:p w14:paraId="537CAC1E">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Hope Family Savings Group</w:t>
            </w:r>
          </w:p>
        </w:tc>
        <w:tc>
          <w:tcPr>
            <w:tcW w:w="1180" w:type="dxa"/>
            <w:shd w:val="clear" w:color="auto" w:fill="auto"/>
            <w:noWrap/>
            <w:vAlign w:val="bottom"/>
          </w:tcPr>
          <w:p w14:paraId="30DEEF96">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Central</w:t>
            </w:r>
          </w:p>
        </w:tc>
        <w:tc>
          <w:tcPr>
            <w:tcW w:w="1360" w:type="dxa"/>
            <w:shd w:val="clear" w:color="auto" w:fill="auto"/>
            <w:noWrap/>
            <w:vAlign w:val="bottom"/>
          </w:tcPr>
          <w:p w14:paraId="108EEB63">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Ugandan</w:t>
            </w:r>
          </w:p>
        </w:tc>
        <w:tc>
          <w:tcPr>
            <w:tcW w:w="1440" w:type="dxa"/>
            <w:shd w:val="clear" w:color="auto" w:fill="auto"/>
            <w:noWrap/>
            <w:vAlign w:val="bottom"/>
          </w:tcPr>
          <w:p w14:paraId="1698E5EE">
            <w:pPr>
              <w:spacing w:after="0" w:line="240" w:lineRule="auto"/>
              <w:jc w:val="right"/>
              <w:rPr>
                <w:rFonts w:ascii="Garamond" w:hAnsi="Garamond" w:eastAsia="Times New Roman" w:cs="Times New Roman"/>
                <w:color w:val="000000"/>
              </w:rPr>
            </w:pPr>
            <w:r>
              <w:rPr>
                <w:rFonts w:ascii="Garamond" w:hAnsi="Garamond" w:eastAsia="Times New Roman" w:cs="Times New Roman"/>
                <w:color w:val="000000"/>
              </w:rPr>
              <w:t>0706 700682</w:t>
            </w:r>
          </w:p>
        </w:tc>
      </w:tr>
      <w:tr w14:paraId="4BBD8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80" w:type="dxa"/>
            <w:shd w:val="clear" w:color="auto" w:fill="auto"/>
            <w:noWrap/>
            <w:vAlign w:val="bottom"/>
          </w:tcPr>
          <w:p w14:paraId="369418A8">
            <w:pPr>
              <w:spacing w:after="0" w:line="240" w:lineRule="auto"/>
              <w:jc w:val="right"/>
              <w:rPr>
                <w:rFonts w:ascii="Garamond" w:hAnsi="Garamond" w:eastAsia="Times New Roman" w:cs="Times New Roman"/>
                <w:color w:val="000000"/>
              </w:rPr>
            </w:pPr>
            <w:r>
              <w:rPr>
                <w:rFonts w:ascii="Garamond" w:hAnsi="Garamond" w:eastAsia="Times New Roman" w:cs="Times New Roman"/>
                <w:color w:val="000000"/>
              </w:rPr>
              <w:t>23</w:t>
            </w:r>
          </w:p>
        </w:tc>
        <w:tc>
          <w:tcPr>
            <w:tcW w:w="3135" w:type="dxa"/>
            <w:shd w:val="clear" w:color="auto" w:fill="auto"/>
            <w:noWrap/>
            <w:vAlign w:val="bottom"/>
          </w:tcPr>
          <w:p w14:paraId="2580A2F4">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Mawilak Gloria</w:t>
            </w:r>
          </w:p>
        </w:tc>
        <w:tc>
          <w:tcPr>
            <w:tcW w:w="540" w:type="dxa"/>
            <w:shd w:val="clear" w:color="auto" w:fill="auto"/>
            <w:noWrap/>
            <w:vAlign w:val="bottom"/>
          </w:tcPr>
          <w:p w14:paraId="74395FDA">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F</w:t>
            </w:r>
          </w:p>
        </w:tc>
        <w:tc>
          <w:tcPr>
            <w:tcW w:w="4230" w:type="dxa"/>
            <w:shd w:val="clear" w:color="auto" w:fill="auto"/>
            <w:noWrap/>
            <w:vAlign w:val="bottom"/>
          </w:tcPr>
          <w:p w14:paraId="16550D00">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Naguru women savings Group</w:t>
            </w:r>
          </w:p>
        </w:tc>
        <w:tc>
          <w:tcPr>
            <w:tcW w:w="1180" w:type="dxa"/>
            <w:shd w:val="clear" w:color="auto" w:fill="auto"/>
            <w:noWrap/>
            <w:vAlign w:val="bottom"/>
          </w:tcPr>
          <w:p w14:paraId="21471717">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Nakawa</w:t>
            </w:r>
          </w:p>
        </w:tc>
        <w:tc>
          <w:tcPr>
            <w:tcW w:w="1360" w:type="dxa"/>
            <w:shd w:val="clear" w:color="auto" w:fill="auto"/>
            <w:noWrap/>
            <w:vAlign w:val="bottom"/>
          </w:tcPr>
          <w:p w14:paraId="1D163E6C">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Ugandan</w:t>
            </w:r>
          </w:p>
        </w:tc>
        <w:tc>
          <w:tcPr>
            <w:tcW w:w="1440" w:type="dxa"/>
            <w:shd w:val="clear" w:color="auto" w:fill="auto"/>
            <w:noWrap/>
            <w:vAlign w:val="bottom"/>
          </w:tcPr>
          <w:p w14:paraId="5C4AAD8F">
            <w:pPr>
              <w:spacing w:after="0" w:line="240" w:lineRule="auto"/>
              <w:jc w:val="right"/>
              <w:rPr>
                <w:rFonts w:ascii="Garamond" w:hAnsi="Garamond" w:eastAsia="Times New Roman" w:cs="Times New Roman"/>
                <w:color w:val="000000"/>
              </w:rPr>
            </w:pPr>
            <w:r>
              <w:rPr>
                <w:rFonts w:ascii="Garamond" w:hAnsi="Garamond" w:eastAsia="Times New Roman" w:cs="Times New Roman"/>
                <w:color w:val="000000"/>
              </w:rPr>
              <w:t>0766 156680</w:t>
            </w:r>
          </w:p>
        </w:tc>
      </w:tr>
      <w:tr w14:paraId="58BC7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80" w:type="dxa"/>
            <w:shd w:val="clear" w:color="auto" w:fill="auto"/>
            <w:noWrap/>
            <w:vAlign w:val="bottom"/>
          </w:tcPr>
          <w:p w14:paraId="3B55F0F7">
            <w:pPr>
              <w:spacing w:after="0" w:line="240" w:lineRule="auto"/>
              <w:jc w:val="right"/>
              <w:rPr>
                <w:rFonts w:ascii="Garamond" w:hAnsi="Garamond" w:eastAsia="Times New Roman" w:cs="Times New Roman"/>
                <w:color w:val="000000"/>
              </w:rPr>
            </w:pPr>
            <w:r>
              <w:rPr>
                <w:rFonts w:ascii="Garamond" w:hAnsi="Garamond" w:eastAsia="Times New Roman" w:cs="Times New Roman"/>
                <w:color w:val="000000"/>
              </w:rPr>
              <w:t>24</w:t>
            </w:r>
          </w:p>
        </w:tc>
        <w:tc>
          <w:tcPr>
            <w:tcW w:w="3135" w:type="dxa"/>
            <w:shd w:val="clear" w:color="auto" w:fill="auto"/>
            <w:noWrap/>
            <w:vAlign w:val="bottom"/>
          </w:tcPr>
          <w:p w14:paraId="5C14D664">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Babirye Rose</w:t>
            </w:r>
          </w:p>
        </w:tc>
        <w:tc>
          <w:tcPr>
            <w:tcW w:w="540" w:type="dxa"/>
            <w:shd w:val="clear" w:color="auto" w:fill="auto"/>
            <w:noWrap/>
            <w:vAlign w:val="bottom"/>
          </w:tcPr>
          <w:p w14:paraId="338D8079">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F</w:t>
            </w:r>
          </w:p>
        </w:tc>
        <w:tc>
          <w:tcPr>
            <w:tcW w:w="4230" w:type="dxa"/>
            <w:shd w:val="clear" w:color="auto" w:fill="auto"/>
            <w:noWrap/>
            <w:vAlign w:val="bottom"/>
          </w:tcPr>
          <w:p w14:paraId="3D8A37E9">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Tuyinza Saving Sacco</w:t>
            </w:r>
          </w:p>
        </w:tc>
        <w:tc>
          <w:tcPr>
            <w:tcW w:w="1180" w:type="dxa"/>
            <w:shd w:val="clear" w:color="auto" w:fill="auto"/>
            <w:noWrap/>
            <w:vAlign w:val="bottom"/>
          </w:tcPr>
          <w:p w14:paraId="435D3F4A">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Central</w:t>
            </w:r>
          </w:p>
        </w:tc>
        <w:tc>
          <w:tcPr>
            <w:tcW w:w="1360" w:type="dxa"/>
            <w:shd w:val="clear" w:color="auto" w:fill="auto"/>
            <w:noWrap/>
            <w:vAlign w:val="bottom"/>
          </w:tcPr>
          <w:p w14:paraId="20C12955">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Ugandan</w:t>
            </w:r>
          </w:p>
        </w:tc>
        <w:tc>
          <w:tcPr>
            <w:tcW w:w="1440" w:type="dxa"/>
            <w:shd w:val="clear" w:color="auto" w:fill="auto"/>
            <w:noWrap/>
            <w:vAlign w:val="bottom"/>
          </w:tcPr>
          <w:p w14:paraId="62B5FDB0">
            <w:pPr>
              <w:spacing w:after="0" w:line="240" w:lineRule="auto"/>
              <w:jc w:val="right"/>
              <w:rPr>
                <w:rFonts w:ascii="Garamond" w:hAnsi="Garamond" w:eastAsia="Times New Roman" w:cs="Times New Roman"/>
                <w:color w:val="000000"/>
              </w:rPr>
            </w:pPr>
            <w:r>
              <w:rPr>
                <w:rFonts w:ascii="Garamond" w:hAnsi="Garamond" w:eastAsia="Times New Roman" w:cs="Times New Roman"/>
                <w:color w:val="000000"/>
              </w:rPr>
              <w:t>0753 482184</w:t>
            </w:r>
          </w:p>
        </w:tc>
      </w:tr>
      <w:tr w14:paraId="5AD97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80" w:type="dxa"/>
            <w:shd w:val="clear" w:color="auto" w:fill="auto"/>
            <w:noWrap/>
            <w:vAlign w:val="bottom"/>
          </w:tcPr>
          <w:p w14:paraId="6237A3F8">
            <w:pPr>
              <w:spacing w:after="0" w:line="240" w:lineRule="auto"/>
              <w:jc w:val="right"/>
              <w:rPr>
                <w:rFonts w:ascii="Garamond" w:hAnsi="Garamond" w:eastAsia="Times New Roman" w:cs="Times New Roman"/>
                <w:color w:val="000000"/>
              </w:rPr>
            </w:pPr>
            <w:r>
              <w:rPr>
                <w:rFonts w:ascii="Garamond" w:hAnsi="Garamond" w:eastAsia="Times New Roman" w:cs="Times New Roman"/>
                <w:color w:val="000000"/>
              </w:rPr>
              <w:t>25</w:t>
            </w:r>
          </w:p>
        </w:tc>
        <w:tc>
          <w:tcPr>
            <w:tcW w:w="3135" w:type="dxa"/>
            <w:shd w:val="clear" w:color="auto" w:fill="auto"/>
            <w:noWrap/>
            <w:vAlign w:val="bottom"/>
          </w:tcPr>
          <w:p w14:paraId="6F97EEE3">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Mbabazi Winnie</w:t>
            </w:r>
          </w:p>
        </w:tc>
        <w:tc>
          <w:tcPr>
            <w:tcW w:w="540" w:type="dxa"/>
            <w:shd w:val="clear" w:color="auto" w:fill="auto"/>
            <w:noWrap/>
            <w:vAlign w:val="bottom"/>
          </w:tcPr>
          <w:p w14:paraId="67EDEA15">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F</w:t>
            </w:r>
          </w:p>
        </w:tc>
        <w:tc>
          <w:tcPr>
            <w:tcW w:w="4230" w:type="dxa"/>
            <w:shd w:val="clear" w:color="auto" w:fill="auto"/>
            <w:noWrap/>
            <w:vAlign w:val="bottom"/>
          </w:tcPr>
          <w:p w14:paraId="0675EAA2">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Toto Business Group</w:t>
            </w:r>
          </w:p>
        </w:tc>
        <w:tc>
          <w:tcPr>
            <w:tcW w:w="1180" w:type="dxa"/>
            <w:shd w:val="clear" w:color="auto" w:fill="auto"/>
            <w:noWrap/>
            <w:vAlign w:val="bottom"/>
          </w:tcPr>
          <w:p w14:paraId="4C2AF14D">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Lubaga</w:t>
            </w:r>
          </w:p>
        </w:tc>
        <w:tc>
          <w:tcPr>
            <w:tcW w:w="1360" w:type="dxa"/>
            <w:shd w:val="clear" w:color="auto" w:fill="auto"/>
            <w:noWrap/>
            <w:vAlign w:val="bottom"/>
          </w:tcPr>
          <w:p w14:paraId="16072C57">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Ugandan</w:t>
            </w:r>
          </w:p>
        </w:tc>
        <w:tc>
          <w:tcPr>
            <w:tcW w:w="1440" w:type="dxa"/>
            <w:shd w:val="clear" w:color="auto" w:fill="auto"/>
            <w:noWrap/>
            <w:vAlign w:val="bottom"/>
          </w:tcPr>
          <w:p w14:paraId="31E8D0CF">
            <w:pPr>
              <w:spacing w:after="0" w:line="240" w:lineRule="auto"/>
              <w:jc w:val="right"/>
              <w:rPr>
                <w:rFonts w:ascii="Garamond" w:hAnsi="Garamond" w:eastAsia="Times New Roman" w:cs="Times New Roman"/>
                <w:color w:val="000000"/>
              </w:rPr>
            </w:pPr>
            <w:r>
              <w:rPr>
                <w:rFonts w:ascii="Garamond" w:hAnsi="Garamond" w:eastAsia="Times New Roman" w:cs="Times New Roman"/>
                <w:color w:val="000000"/>
              </w:rPr>
              <w:t>0701 226099</w:t>
            </w:r>
          </w:p>
        </w:tc>
      </w:tr>
      <w:tr w14:paraId="2E0E9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80" w:type="dxa"/>
            <w:shd w:val="clear" w:color="auto" w:fill="auto"/>
            <w:noWrap/>
            <w:vAlign w:val="bottom"/>
          </w:tcPr>
          <w:p w14:paraId="19DAA8FF">
            <w:pPr>
              <w:spacing w:after="0" w:line="240" w:lineRule="auto"/>
              <w:jc w:val="right"/>
              <w:rPr>
                <w:rFonts w:ascii="Garamond" w:hAnsi="Garamond" w:eastAsia="Times New Roman" w:cs="Times New Roman"/>
                <w:color w:val="000000"/>
              </w:rPr>
            </w:pPr>
            <w:r>
              <w:rPr>
                <w:rFonts w:ascii="Garamond" w:hAnsi="Garamond" w:eastAsia="Times New Roman" w:cs="Times New Roman"/>
                <w:color w:val="000000"/>
              </w:rPr>
              <w:t>26</w:t>
            </w:r>
          </w:p>
        </w:tc>
        <w:tc>
          <w:tcPr>
            <w:tcW w:w="3135" w:type="dxa"/>
            <w:shd w:val="clear" w:color="auto" w:fill="auto"/>
            <w:noWrap/>
            <w:vAlign w:val="bottom"/>
          </w:tcPr>
          <w:p w14:paraId="5074778E">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Kakooza Prossy</w:t>
            </w:r>
          </w:p>
        </w:tc>
        <w:tc>
          <w:tcPr>
            <w:tcW w:w="540" w:type="dxa"/>
            <w:shd w:val="clear" w:color="auto" w:fill="auto"/>
            <w:noWrap/>
            <w:vAlign w:val="bottom"/>
          </w:tcPr>
          <w:p w14:paraId="5F1E3068">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F</w:t>
            </w:r>
          </w:p>
        </w:tc>
        <w:tc>
          <w:tcPr>
            <w:tcW w:w="4230" w:type="dxa"/>
            <w:shd w:val="clear" w:color="auto" w:fill="auto"/>
            <w:noWrap/>
            <w:vAlign w:val="bottom"/>
          </w:tcPr>
          <w:p w14:paraId="77CD4940">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Kabalagala Critical Thonkers</w:t>
            </w:r>
          </w:p>
        </w:tc>
        <w:tc>
          <w:tcPr>
            <w:tcW w:w="1180" w:type="dxa"/>
            <w:shd w:val="clear" w:color="auto" w:fill="auto"/>
            <w:noWrap/>
            <w:vAlign w:val="bottom"/>
          </w:tcPr>
          <w:p w14:paraId="620D2C6B">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Makindye</w:t>
            </w:r>
          </w:p>
        </w:tc>
        <w:tc>
          <w:tcPr>
            <w:tcW w:w="1360" w:type="dxa"/>
            <w:shd w:val="clear" w:color="auto" w:fill="auto"/>
            <w:noWrap/>
            <w:vAlign w:val="bottom"/>
          </w:tcPr>
          <w:p w14:paraId="2EC7EE0F">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Ugandan</w:t>
            </w:r>
          </w:p>
        </w:tc>
        <w:tc>
          <w:tcPr>
            <w:tcW w:w="1440" w:type="dxa"/>
            <w:shd w:val="clear" w:color="auto" w:fill="auto"/>
            <w:noWrap/>
            <w:vAlign w:val="bottom"/>
          </w:tcPr>
          <w:p w14:paraId="4E88CF8E">
            <w:pPr>
              <w:spacing w:after="0" w:line="240" w:lineRule="auto"/>
              <w:jc w:val="right"/>
              <w:rPr>
                <w:rFonts w:ascii="Garamond" w:hAnsi="Garamond" w:eastAsia="Times New Roman" w:cs="Times New Roman"/>
                <w:color w:val="000000"/>
              </w:rPr>
            </w:pPr>
            <w:r>
              <w:rPr>
                <w:rFonts w:ascii="Garamond" w:hAnsi="Garamond" w:eastAsia="Times New Roman" w:cs="Times New Roman"/>
                <w:color w:val="000000"/>
              </w:rPr>
              <w:t>0772 949254</w:t>
            </w:r>
          </w:p>
        </w:tc>
      </w:tr>
      <w:tr w14:paraId="29AF0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80" w:type="dxa"/>
            <w:shd w:val="clear" w:color="auto" w:fill="auto"/>
            <w:noWrap/>
            <w:vAlign w:val="bottom"/>
          </w:tcPr>
          <w:p w14:paraId="7EEA24FC">
            <w:pPr>
              <w:spacing w:after="0" w:line="240" w:lineRule="auto"/>
              <w:jc w:val="right"/>
              <w:rPr>
                <w:rFonts w:ascii="Garamond" w:hAnsi="Garamond" w:eastAsia="Times New Roman" w:cs="Times New Roman"/>
                <w:color w:val="000000"/>
              </w:rPr>
            </w:pPr>
            <w:r>
              <w:rPr>
                <w:rFonts w:ascii="Garamond" w:hAnsi="Garamond" w:eastAsia="Times New Roman" w:cs="Times New Roman"/>
                <w:color w:val="000000"/>
              </w:rPr>
              <w:t>27</w:t>
            </w:r>
          </w:p>
        </w:tc>
        <w:tc>
          <w:tcPr>
            <w:tcW w:w="3135" w:type="dxa"/>
            <w:shd w:val="clear" w:color="auto" w:fill="auto"/>
            <w:noWrap/>
            <w:vAlign w:val="bottom"/>
          </w:tcPr>
          <w:p w14:paraId="44597D0B">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Nakagwe Agnes Mirembe</w:t>
            </w:r>
          </w:p>
        </w:tc>
        <w:tc>
          <w:tcPr>
            <w:tcW w:w="540" w:type="dxa"/>
            <w:shd w:val="clear" w:color="auto" w:fill="auto"/>
            <w:noWrap/>
            <w:vAlign w:val="bottom"/>
          </w:tcPr>
          <w:p w14:paraId="502BB8BF">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F</w:t>
            </w:r>
          </w:p>
        </w:tc>
        <w:tc>
          <w:tcPr>
            <w:tcW w:w="4230" w:type="dxa"/>
            <w:shd w:val="clear" w:color="auto" w:fill="auto"/>
            <w:noWrap/>
            <w:vAlign w:val="bottom"/>
          </w:tcPr>
          <w:p w14:paraId="6BA40503">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Twezimbe Savings Gropu</w:t>
            </w:r>
          </w:p>
        </w:tc>
        <w:tc>
          <w:tcPr>
            <w:tcW w:w="1180" w:type="dxa"/>
            <w:shd w:val="clear" w:color="auto" w:fill="auto"/>
            <w:noWrap/>
            <w:vAlign w:val="bottom"/>
          </w:tcPr>
          <w:p w14:paraId="5CF82C6B">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Makindye</w:t>
            </w:r>
          </w:p>
        </w:tc>
        <w:tc>
          <w:tcPr>
            <w:tcW w:w="1360" w:type="dxa"/>
            <w:shd w:val="clear" w:color="auto" w:fill="auto"/>
            <w:noWrap/>
            <w:vAlign w:val="bottom"/>
          </w:tcPr>
          <w:p w14:paraId="42D9F107">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Ugandan</w:t>
            </w:r>
          </w:p>
        </w:tc>
        <w:tc>
          <w:tcPr>
            <w:tcW w:w="1440" w:type="dxa"/>
            <w:shd w:val="clear" w:color="auto" w:fill="auto"/>
            <w:noWrap/>
            <w:vAlign w:val="bottom"/>
          </w:tcPr>
          <w:p w14:paraId="5BB5F035">
            <w:pPr>
              <w:spacing w:after="0" w:line="240" w:lineRule="auto"/>
              <w:jc w:val="right"/>
              <w:rPr>
                <w:rFonts w:ascii="Garamond" w:hAnsi="Garamond" w:eastAsia="Times New Roman" w:cs="Times New Roman"/>
                <w:color w:val="000000"/>
              </w:rPr>
            </w:pPr>
            <w:r>
              <w:rPr>
                <w:rFonts w:ascii="Garamond" w:hAnsi="Garamond" w:eastAsia="Times New Roman" w:cs="Times New Roman"/>
                <w:color w:val="000000"/>
              </w:rPr>
              <w:t>0760 383229</w:t>
            </w:r>
          </w:p>
        </w:tc>
      </w:tr>
      <w:tr w14:paraId="260C0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80" w:type="dxa"/>
            <w:shd w:val="clear" w:color="auto" w:fill="auto"/>
            <w:noWrap/>
            <w:vAlign w:val="bottom"/>
          </w:tcPr>
          <w:p w14:paraId="698453AA">
            <w:pPr>
              <w:spacing w:after="0" w:line="240" w:lineRule="auto"/>
              <w:jc w:val="right"/>
              <w:rPr>
                <w:rFonts w:ascii="Garamond" w:hAnsi="Garamond" w:eastAsia="Times New Roman" w:cs="Times New Roman"/>
                <w:color w:val="000000"/>
              </w:rPr>
            </w:pPr>
            <w:r>
              <w:rPr>
                <w:rFonts w:ascii="Garamond" w:hAnsi="Garamond" w:eastAsia="Times New Roman" w:cs="Times New Roman"/>
                <w:color w:val="000000"/>
              </w:rPr>
              <w:t>28</w:t>
            </w:r>
          </w:p>
        </w:tc>
        <w:tc>
          <w:tcPr>
            <w:tcW w:w="3135" w:type="dxa"/>
            <w:shd w:val="clear" w:color="auto" w:fill="auto"/>
            <w:noWrap/>
            <w:vAlign w:val="bottom"/>
          </w:tcPr>
          <w:p w14:paraId="03E8EED7">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Mukalazi Abdulrahman</w:t>
            </w:r>
          </w:p>
        </w:tc>
        <w:tc>
          <w:tcPr>
            <w:tcW w:w="540" w:type="dxa"/>
            <w:shd w:val="clear" w:color="auto" w:fill="auto"/>
            <w:noWrap/>
            <w:vAlign w:val="bottom"/>
          </w:tcPr>
          <w:p w14:paraId="48AB03C8">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F</w:t>
            </w:r>
          </w:p>
        </w:tc>
        <w:tc>
          <w:tcPr>
            <w:tcW w:w="4230" w:type="dxa"/>
            <w:shd w:val="clear" w:color="auto" w:fill="auto"/>
            <w:noWrap/>
            <w:vAlign w:val="bottom"/>
          </w:tcPr>
          <w:p w14:paraId="195B6A5D">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Right Hand of Uganda devt Group</w:t>
            </w:r>
          </w:p>
        </w:tc>
        <w:tc>
          <w:tcPr>
            <w:tcW w:w="1180" w:type="dxa"/>
            <w:shd w:val="clear" w:color="auto" w:fill="auto"/>
            <w:noWrap/>
            <w:vAlign w:val="bottom"/>
          </w:tcPr>
          <w:p w14:paraId="6731DD43">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Makindye</w:t>
            </w:r>
          </w:p>
        </w:tc>
        <w:tc>
          <w:tcPr>
            <w:tcW w:w="1360" w:type="dxa"/>
            <w:shd w:val="clear" w:color="auto" w:fill="auto"/>
            <w:noWrap/>
            <w:vAlign w:val="bottom"/>
          </w:tcPr>
          <w:p w14:paraId="60A51572">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Ugandan</w:t>
            </w:r>
          </w:p>
        </w:tc>
        <w:tc>
          <w:tcPr>
            <w:tcW w:w="1440" w:type="dxa"/>
            <w:shd w:val="clear" w:color="auto" w:fill="auto"/>
            <w:noWrap/>
            <w:vAlign w:val="bottom"/>
          </w:tcPr>
          <w:p w14:paraId="148C2170">
            <w:pPr>
              <w:spacing w:after="0" w:line="240" w:lineRule="auto"/>
              <w:jc w:val="right"/>
              <w:rPr>
                <w:rFonts w:ascii="Garamond" w:hAnsi="Garamond" w:eastAsia="Times New Roman" w:cs="Times New Roman"/>
                <w:color w:val="000000"/>
              </w:rPr>
            </w:pPr>
            <w:r>
              <w:rPr>
                <w:rFonts w:ascii="Garamond" w:hAnsi="Garamond" w:eastAsia="Times New Roman" w:cs="Times New Roman"/>
                <w:color w:val="000000"/>
              </w:rPr>
              <w:t>0757 101933</w:t>
            </w:r>
          </w:p>
        </w:tc>
      </w:tr>
      <w:tr w14:paraId="1F70E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80" w:type="dxa"/>
            <w:shd w:val="clear" w:color="auto" w:fill="auto"/>
            <w:noWrap/>
            <w:vAlign w:val="bottom"/>
          </w:tcPr>
          <w:p w14:paraId="5548850E">
            <w:pPr>
              <w:spacing w:after="0" w:line="240" w:lineRule="auto"/>
              <w:jc w:val="right"/>
              <w:rPr>
                <w:rFonts w:ascii="Garamond" w:hAnsi="Garamond" w:eastAsia="Times New Roman" w:cs="Times New Roman"/>
                <w:color w:val="000000"/>
              </w:rPr>
            </w:pPr>
            <w:r>
              <w:rPr>
                <w:rFonts w:ascii="Garamond" w:hAnsi="Garamond" w:eastAsia="Times New Roman" w:cs="Times New Roman"/>
                <w:color w:val="000000"/>
              </w:rPr>
              <w:t>29</w:t>
            </w:r>
          </w:p>
        </w:tc>
        <w:tc>
          <w:tcPr>
            <w:tcW w:w="3135" w:type="dxa"/>
            <w:shd w:val="clear" w:color="auto" w:fill="auto"/>
            <w:noWrap/>
            <w:vAlign w:val="bottom"/>
          </w:tcPr>
          <w:p w14:paraId="76A80000">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Okuku Frank</w:t>
            </w:r>
          </w:p>
        </w:tc>
        <w:tc>
          <w:tcPr>
            <w:tcW w:w="540" w:type="dxa"/>
            <w:shd w:val="clear" w:color="auto" w:fill="auto"/>
            <w:noWrap/>
            <w:vAlign w:val="bottom"/>
          </w:tcPr>
          <w:p w14:paraId="3562D05D">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M</w:t>
            </w:r>
          </w:p>
        </w:tc>
        <w:tc>
          <w:tcPr>
            <w:tcW w:w="4230" w:type="dxa"/>
            <w:shd w:val="clear" w:color="auto" w:fill="auto"/>
            <w:noWrap/>
            <w:vAlign w:val="bottom"/>
          </w:tcPr>
          <w:p w14:paraId="22F2E7B2">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Kabalagala Critical Thonkers</w:t>
            </w:r>
          </w:p>
        </w:tc>
        <w:tc>
          <w:tcPr>
            <w:tcW w:w="1180" w:type="dxa"/>
            <w:shd w:val="clear" w:color="auto" w:fill="auto"/>
            <w:noWrap/>
            <w:vAlign w:val="bottom"/>
          </w:tcPr>
          <w:p w14:paraId="7AEC5EED">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Makindye</w:t>
            </w:r>
          </w:p>
        </w:tc>
        <w:tc>
          <w:tcPr>
            <w:tcW w:w="1360" w:type="dxa"/>
            <w:shd w:val="clear" w:color="auto" w:fill="auto"/>
            <w:noWrap/>
            <w:vAlign w:val="bottom"/>
          </w:tcPr>
          <w:p w14:paraId="1C6308F9">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Ugandan</w:t>
            </w:r>
          </w:p>
        </w:tc>
        <w:tc>
          <w:tcPr>
            <w:tcW w:w="1440" w:type="dxa"/>
            <w:shd w:val="clear" w:color="auto" w:fill="auto"/>
            <w:noWrap/>
            <w:vAlign w:val="bottom"/>
          </w:tcPr>
          <w:p w14:paraId="6B704685">
            <w:pPr>
              <w:spacing w:after="0" w:line="240" w:lineRule="auto"/>
              <w:jc w:val="right"/>
              <w:rPr>
                <w:rFonts w:ascii="Garamond" w:hAnsi="Garamond" w:eastAsia="Times New Roman" w:cs="Times New Roman"/>
                <w:color w:val="000000"/>
              </w:rPr>
            </w:pPr>
            <w:r>
              <w:rPr>
                <w:rFonts w:ascii="Garamond" w:hAnsi="Garamond" w:eastAsia="Times New Roman" w:cs="Times New Roman"/>
                <w:color w:val="000000"/>
              </w:rPr>
              <w:t>0773 041419</w:t>
            </w:r>
          </w:p>
        </w:tc>
      </w:tr>
      <w:tr w14:paraId="416D9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80" w:type="dxa"/>
            <w:shd w:val="clear" w:color="auto" w:fill="auto"/>
            <w:noWrap/>
            <w:vAlign w:val="bottom"/>
          </w:tcPr>
          <w:p w14:paraId="3BE52CCB">
            <w:pPr>
              <w:spacing w:after="0" w:line="240" w:lineRule="auto"/>
              <w:jc w:val="right"/>
              <w:rPr>
                <w:rFonts w:ascii="Garamond" w:hAnsi="Garamond" w:eastAsia="Times New Roman" w:cs="Times New Roman"/>
                <w:color w:val="000000"/>
              </w:rPr>
            </w:pPr>
            <w:r>
              <w:rPr>
                <w:rFonts w:ascii="Garamond" w:hAnsi="Garamond" w:eastAsia="Times New Roman" w:cs="Times New Roman"/>
                <w:color w:val="000000"/>
              </w:rPr>
              <w:t>30</w:t>
            </w:r>
          </w:p>
        </w:tc>
        <w:tc>
          <w:tcPr>
            <w:tcW w:w="3135" w:type="dxa"/>
            <w:shd w:val="clear" w:color="auto" w:fill="auto"/>
            <w:noWrap/>
            <w:vAlign w:val="bottom"/>
          </w:tcPr>
          <w:p w14:paraId="159C9E09">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Vincent Sseguya</w:t>
            </w:r>
          </w:p>
        </w:tc>
        <w:tc>
          <w:tcPr>
            <w:tcW w:w="540" w:type="dxa"/>
            <w:shd w:val="clear" w:color="auto" w:fill="auto"/>
            <w:noWrap/>
            <w:vAlign w:val="bottom"/>
          </w:tcPr>
          <w:p w14:paraId="5FDF1E36">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 xml:space="preserve">M </w:t>
            </w:r>
          </w:p>
        </w:tc>
        <w:tc>
          <w:tcPr>
            <w:tcW w:w="4230" w:type="dxa"/>
            <w:shd w:val="clear" w:color="auto" w:fill="auto"/>
            <w:noWrap/>
            <w:vAlign w:val="bottom"/>
          </w:tcPr>
          <w:p w14:paraId="57779629">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 xml:space="preserve">Nyago Local Council Leader </w:t>
            </w:r>
          </w:p>
        </w:tc>
        <w:tc>
          <w:tcPr>
            <w:tcW w:w="1180" w:type="dxa"/>
            <w:shd w:val="clear" w:color="auto" w:fill="auto"/>
            <w:noWrap/>
            <w:vAlign w:val="bottom"/>
          </w:tcPr>
          <w:p w14:paraId="06801002">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Makindye</w:t>
            </w:r>
          </w:p>
        </w:tc>
        <w:tc>
          <w:tcPr>
            <w:tcW w:w="1360" w:type="dxa"/>
            <w:shd w:val="clear" w:color="auto" w:fill="auto"/>
            <w:noWrap/>
            <w:vAlign w:val="bottom"/>
          </w:tcPr>
          <w:p w14:paraId="003FC613">
            <w:pPr>
              <w:spacing w:after="0" w:line="240" w:lineRule="auto"/>
              <w:rPr>
                <w:rFonts w:ascii="Garamond" w:hAnsi="Garamond" w:eastAsia="Times New Roman" w:cs="Times New Roman"/>
                <w:bCs/>
                <w:color w:val="000000"/>
              </w:rPr>
            </w:pPr>
            <w:r>
              <w:rPr>
                <w:rFonts w:ascii="Garamond" w:hAnsi="Garamond" w:eastAsia="Times New Roman" w:cs="Times New Roman"/>
                <w:bCs/>
                <w:color w:val="000000"/>
              </w:rPr>
              <w:t>Ugandan</w:t>
            </w:r>
          </w:p>
        </w:tc>
        <w:tc>
          <w:tcPr>
            <w:tcW w:w="1440" w:type="dxa"/>
            <w:shd w:val="clear" w:color="auto" w:fill="auto"/>
            <w:noWrap/>
            <w:vAlign w:val="bottom"/>
          </w:tcPr>
          <w:p w14:paraId="39B9F037">
            <w:pPr>
              <w:spacing w:after="0" w:line="240" w:lineRule="auto"/>
              <w:jc w:val="right"/>
              <w:rPr>
                <w:rFonts w:hint="default" w:ascii="Garamond" w:hAnsi="Garamond" w:eastAsia="Times New Roman" w:cs="Times New Roman"/>
                <w:color w:val="000000"/>
                <w:lang w:val="en-US"/>
              </w:rPr>
            </w:pPr>
            <w:r>
              <w:rPr>
                <w:rFonts w:hint="default" w:ascii="Garamond" w:hAnsi="Garamond" w:eastAsia="Times New Roman" w:cs="Times New Roman"/>
                <w:color w:val="000000"/>
                <w:lang w:val="en-US"/>
              </w:rPr>
              <w:t>0754185585</w:t>
            </w:r>
          </w:p>
        </w:tc>
      </w:tr>
    </w:tbl>
    <w:p w14:paraId="5D9EF646">
      <w:pPr>
        <w:spacing w:after="0" w:line="240" w:lineRule="auto"/>
        <w:rPr>
          <w:rFonts w:ascii="Garamond" w:hAnsi="Garamond"/>
        </w:rPr>
      </w:pPr>
    </w:p>
    <w:sectPr>
      <w:pgSz w:w="15840" w:h="12240" w:orient="landscape"/>
      <w:pgMar w:top="1440" w:right="1440" w:bottom="144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Garamond">
    <w:panose1 w:val="02020404030301010803"/>
    <w:charset w:val="00"/>
    <w:family w:val="roman"/>
    <w:pitch w:val="default"/>
    <w:sig w:usb0="00000287" w:usb1="00000000" w:usb2="00000000" w:usb3="00000000" w:csb0="0000009F" w:csb1="DFD70000"/>
  </w:font>
  <w:font w:name="Arial Narrow">
    <w:panose1 w:val="020B0606020202030204"/>
    <w:charset w:val="00"/>
    <w:family w:val="swiss"/>
    <w:pitch w:val="default"/>
    <w:sig w:usb0="00000287" w:usb1="00000800" w:usb2="00000000" w:usb3="00000000" w:csb0="2000009F" w:csb1="DFD70000"/>
  </w:font>
  <w:font w:name="Symbol">
    <w:panose1 w:val="050501020107060205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98371740"/>
      <w:docPartObj>
        <w:docPartGallery w:val="autotext"/>
      </w:docPartObj>
    </w:sdtPr>
    <w:sdtContent>
      <w:p w14:paraId="7B199C66">
        <w:pPr>
          <w:pStyle w:val="8"/>
          <w:jc w:val="right"/>
        </w:pPr>
        <w:r>
          <w:fldChar w:fldCharType="begin"/>
        </w:r>
        <w:r>
          <w:instrText xml:space="preserve"> PAGE   \* MERGEFORMAT </w:instrText>
        </w:r>
        <w:r>
          <w:fldChar w:fldCharType="separate"/>
        </w:r>
        <w:r>
          <w:t>1</w:t>
        </w:r>
        <w:r>
          <w:fldChar w:fldCharType="end"/>
        </w:r>
      </w:p>
    </w:sdtContent>
  </w:sdt>
  <w:p w14:paraId="067D4039">
    <w:pPr>
      <w:pStyle w:val="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FEC0C3A"/>
    <w:multiLevelType w:val="multilevel"/>
    <w:tmpl w:val="3FEC0C3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
    <w:nsid w:val="4C6E508F"/>
    <w:multiLevelType w:val="multilevel"/>
    <w:tmpl w:val="4C6E508F"/>
    <w:lvl w:ilvl="0" w:tentative="0">
      <w:start w:val="1"/>
      <w:numFmt w:val="decimal"/>
      <w:lvlText w:val="%1.0."/>
      <w:lvlJc w:val="left"/>
      <w:pPr>
        <w:ind w:left="720" w:hanging="720"/>
      </w:pPr>
      <w:rPr>
        <w:rFonts w:hint="default"/>
      </w:rPr>
    </w:lvl>
    <w:lvl w:ilvl="1" w:tentative="0">
      <w:start w:val="1"/>
      <w:numFmt w:val="decimal"/>
      <w:lvlText w:val="%1.%2."/>
      <w:lvlJc w:val="left"/>
      <w:pPr>
        <w:ind w:left="1440" w:hanging="720"/>
      </w:pPr>
      <w:rPr>
        <w:rFonts w:hint="default"/>
      </w:rPr>
    </w:lvl>
    <w:lvl w:ilvl="2" w:tentative="0">
      <w:start w:val="1"/>
      <w:numFmt w:val="decimal"/>
      <w:lvlText w:val="%1.%2.%3."/>
      <w:lvlJc w:val="left"/>
      <w:pPr>
        <w:ind w:left="2160" w:hanging="720"/>
      </w:pPr>
      <w:rPr>
        <w:rFonts w:hint="default"/>
      </w:rPr>
    </w:lvl>
    <w:lvl w:ilvl="3" w:tentative="0">
      <w:start w:val="1"/>
      <w:numFmt w:val="decimal"/>
      <w:lvlText w:val="%1.%2.%3.%4."/>
      <w:lvlJc w:val="left"/>
      <w:pPr>
        <w:ind w:left="3240" w:hanging="1080"/>
      </w:pPr>
      <w:rPr>
        <w:rFonts w:hint="default"/>
      </w:rPr>
    </w:lvl>
    <w:lvl w:ilvl="4" w:tentative="0">
      <w:start w:val="1"/>
      <w:numFmt w:val="decimal"/>
      <w:lvlText w:val="%1.%2.%3.%4.%5."/>
      <w:lvlJc w:val="left"/>
      <w:pPr>
        <w:ind w:left="4320" w:hanging="1440"/>
      </w:pPr>
      <w:rPr>
        <w:rFonts w:hint="default"/>
      </w:rPr>
    </w:lvl>
    <w:lvl w:ilvl="5" w:tentative="0">
      <w:start w:val="1"/>
      <w:numFmt w:val="decimal"/>
      <w:lvlText w:val="%1.%2.%3.%4.%5.%6."/>
      <w:lvlJc w:val="left"/>
      <w:pPr>
        <w:ind w:left="5040" w:hanging="1440"/>
      </w:pPr>
      <w:rPr>
        <w:rFonts w:hint="default"/>
      </w:rPr>
    </w:lvl>
    <w:lvl w:ilvl="6" w:tentative="0">
      <w:start w:val="1"/>
      <w:numFmt w:val="decimal"/>
      <w:lvlText w:val="%1.%2.%3.%4.%5.%6.%7."/>
      <w:lvlJc w:val="left"/>
      <w:pPr>
        <w:ind w:left="6120" w:hanging="1800"/>
      </w:pPr>
      <w:rPr>
        <w:rFonts w:hint="default"/>
      </w:rPr>
    </w:lvl>
    <w:lvl w:ilvl="7" w:tentative="0">
      <w:start w:val="1"/>
      <w:numFmt w:val="decimal"/>
      <w:lvlText w:val="%1.%2.%3.%4.%5.%6.%7.%8."/>
      <w:lvlJc w:val="left"/>
      <w:pPr>
        <w:ind w:left="7200" w:hanging="2160"/>
      </w:pPr>
      <w:rPr>
        <w:rFonts w:hint="default"/>
      </w:rPr>
    </w:lvl>
    <w:lvl w:ilvl="8" w:tentative="0">
      <w:start w:val="1"/>
      <w:numFmt w:val="decimal"/>
      <w:lvlText w:val="%1.%2.%3.%4.%5.%6.%7.%8.%9."/>
      <w:lvlJc w:val="left"/>
      <w:pPr>
        <w:ind w:left="7920" w:hanging="2160"/>
      </w:pPr>
      <w:rPr>
        <w:rFonts w:hint="default"/>
      </w:rPr>
    </w:lvl>
  </w:abstractNum>
  <w:abstractNum w:abstractNumId="2">
    <w:nsid w:val="6F136CC6"/>
    <w:multiLevelType w:val="multilevel"/>
    <w:tmpl w:val="6F136CC6"/>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45EB"/>
    <w:rsid w:val="000E7368"/>
    <w:rsid w:val="000F494E"/>
    <w:rsid w:val="00164CCF"/>
    <w:rsid w:val="001724A3"/>
    <w:rsid w:val="001E1E14"/>
    <w:rsid w:val="002D4CB8"/>
    <w:rsid w:val="003B379C"/>
    <w:rsid w:val="0044364B"/>
    <w:rsid w:val="0046647B"/>
    <w:rsid w:val="00545B39"/>
    <w:rsid w:val="00617507"/>
    <w:rsid w:val="00664F8A"/>
    <w:rsid w:val="00766656"/>
    <w:rsid w:val="00781FF0"/>
    <w:rsid w:val="007E53C5"/>
    <w:rsid w:val="00807B34"/>
    <w:rsid w:val="00880CD7"/>
    <w:rsid w:val="00881402"/>
    <w:rsid w:val="008C6398"/>
    <w:rsid w:val="009D2953"/>
    <w:rsid w:val="009D3B14"/>
    <w:rsid w:val="00A10C21"/>
    <w:rsid w:val="00AA3C84"/>
    <w:rsid w:val="00B125B2"/>
    <w:rsid w:val="00B74A56"/>
    <w:rsid w:val="00BC45EB"/>
    <w:rsid w:val="00BD0E2B"/>
    <w:rsid w:val="00BD451D"/>
    <w:rsid w:val="00C211EE"/>
    <w:rsid w:val="00C436A2"/>
    <w:rsid w:val="00C6572F"/>
    <w:rsid w:val="00D3539A"/>
    <w:rsid w:val="00D430C8"/>
    <w:rsid w:val="00DA02BE"/>
    <w:rsid w:val="00DB7BD8"/>
    <w:rsid w:val="00DE5656"/>
    <w:rsid w:val="00F72022"/>
    <w:rsid w:val="00F760FD"/>
    <w:rsid w:val="00FC5ED2"/>
    <w:rsid w:val="00FD491E"/>
    <w:rsid w:val="5F3E407E"/>
    <w:rsid w:val="780757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qFormat="1"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qFormat="1"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paragraph" w:styleId="2">
    <w:name w:val="heading 1"/>
    <w:basedOn w:val="1"/>
    <w:next w:val="1"/>
    <w:link w:val="18"/>
    <w:qFormat/>
    <w:uiPriority w:val="9"/>
    <w:pPr>
      <w:keepNext/>
      <w:keepLines/>
      <w:spacing w:before="480" w:after="0"/>
      <w:outlineLvl w:val="0"/>
    </w:pPr>
    <w:rPr>
      <w:rFonts w:asciiTheme="majorHAnsi" w:hAnsiTheme="majorHAnsi" w:eastAsiaTheme="majorEastAsia" w:cstheme="majorBidi"/>
      <w:b/>
      <w:bCs/>
      <w:color w:val="376092" w:themeColor="accent1" w:themeShade="BF"/>
      <w:sz w:val="28"/>
      <w:szCs w:val="28"/>
    </w:rPr>
  </w:style>
  <w:style w:type="paragraph" w:styleId="3">
    <w:name w:val="heading 2"/>
    <w:basedOn w:val="1"/>
    <w:next w:val="1"/>
    <w:link w:val="22"/>
    <w:unhideWhenUsed/>
    <w:qFormat/>
    <w:uiPriority w:val="9"/>
    <w:pPr>
      <w:keepNext/>
      <w:keepLines/>
      <w:spacing w:before="200" w:after="0"/>
      <w:outlineLvl w:val="1"/>
    </w:pPr>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default="1" w:styleId="4">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6">
    <w:name w:val="Balloon Text"/>
    <w:basedOn w:val="1"/>
    <w:link w:val="17"/>
    <w:semiHidden/>
    <w:unhideWhenUsed/>
    <w:qFormat/>
    <w:uiPriority w:val="99"/>
    <w:pPr>
      <w:spacing w:after="0" w:line="240" w:lineRule="auto"/>
    </w:pPr>
    <w:rPr>
      <w:rFonts w:ascii="Tahoma" w:hAnsi="Tahoma" w:cs="Tahoma"/>
      <w:sz w:val="16"/>
      <w:szCs w:val="16"/>
    </w:rPr>
  </w:style>
  <w:style w:type="paragraph" w:styleId="7">
    <w:name w:val="caption"/>
    <w:basedOn w:val="1"/>
    <w:next w:val="1"/>
    <w:unhideWhenUsed/>
    <w:qFormat/>
    <w:uiPriority w:val="35"/>
    <w:pPr>
      <w:spacing w:after="200" w:line="240" w:lineRule="auto"/>
    </w:pPr>
    <w:rPr>
      <w:b/>
      <w:bCs/>
      <w:color w:val="4F81BD" w:themeColor="accent1"/>
      <w:sz w:val="18"/>
      <w:szCs w:val="18"/>
      <w14:textFill>
        <w14:solidFill>
          <w14:schemeClr w14:val="accent1"/>
        </w14:solidFill>
      </w14:textFill>
    </w:rPr>
  </w:style>
  <w:style w:type="paragraph" w:styleId="8">
    <w:name w:val="footer"/>
    <w:basedOn w:val="1"/>
    <w:link w:val="21"/>
    <w:unhideWhenUsed/>
    <w:qFormat/>
    <w:uiPriority w:val="99"/>
    <w:pPr>
      <w:tabs>
        <w:tab w:val="center" w:pos="4680"/>
        <w:tab w:val="right" w:pos="9360"/>
      </w:tabs>
      <w:spacing w:after="0" w:line="240" w:lineRule="auto"/>
    </w:pPr>
  </w:style>
  <w:style w:type="paragraph" w:styleId="9">
    <w:name w:val="header"/>
    <w:basedOn w:val="1"/>
    <w:link w:val="20"/>
    <w:unhideWhenUsed/>
    <w:qFormat/>
    <w:uiPriority w:val="99"/>
    <w:pPr>
      <w:tabs>
        <w:tab w:val="center" w:pos="4680"/>
        <w:tab w:val="right" w:pos="9360"/>
      </w:tabs>
      <w:spacing w:after="0" w:line="240" w:lineRule="auto"/>
    </w:pPr>
  </w:style>
  <w:style w:type="character" w:styleId="10">
    <w:name w:val="Hyperlink"/>
    <w:basedOn w:val="4"/>
    <w:unhideWhenUsed/>
    <w:qFormat/>
    <w:uiPriority w:val="99"/>
    <w:rPr>
      <w:color w:val="0000FF" w:themeColor="hyperlink"/>
      <w:u w:val="single"/>
      <w14:textFill>
        <w14:solidFill>
          <w14:schemeClr w14:val="hlink"/>
        </w14:solidFill>
      </w14:textFill>
    </w:rPr>
  </w:style>
  <w:style w:type="paragraph" w:styleId="11">
    <w:name w:val="Normal (Web)"/>
    <w:basedOn w:val="1"/>
    <w:semiHidden/>
    <w:unhideWhenUsed/>
    <w:uiPriority w:val="99"/>
    <w:pPr>
      <w:spacing w:before="100" w:beforeAutospacing="1" w:after="100" w:afterAutospacing="1" w:line="240" w:lineRule="auto"/>
    </w:pPr>
    <w:rPr>
      <w:rFonts w:ascii="Times New Roman" w:hAnsi="Times New Roman" w:cs="Times New Roman" w:eastAsiaTheme="minorEastAsia"/>
      <w:sz w:val="24"/>
      <w:szCs w:val="24"/>
    </w:rPr>
  </w:style>
  <w:style w:type="table" w:styleId="12">
    <w:name w:val="Table Grid"/>
    <w:basedOn w:val="5"/>
    <w:qFormat/>
    <w:uiPriority w:val="39"/>
    <w:pPr>
      <w:spacing w:after="0" w:line="240" w:lineRule="auto"/>
    </w:pPr>
    <w:rPr>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13">
    <w:name w:val="toc 1"/>
    <w:basedOn w:val="1"/>
    <w:next w:val="1"/>
    <w:autoRedefine/>
    <w:unhideWhenUsed/>
    <w:qFormat/>
    <w:uiPriority w:val="39"/>
    <w:pPr>
      <w:spacing w:after="100"/>
    </w:pPr>
  </w:style>
  <w:style w:type="paragraph" w:styleId="14">
    <w:name w:val="toc 2"/>
    <w:basedOn w:val="1"/>
    <w:next w:val="1"/>
    <w:autoRedefine/>
    <w:unhideWhenUsed/>
    <w:qFormat/>
    <w:uiPriority w:val="39"/>
    <w:pPr>
      <w:spacing w:after="100"/>
      <w:ind w:left="220"/>
    </w:pPr>
  </w:style>
  <w:style w:type="table" w:styleId="15">
    <w:name w:val="Light Shading Accent 5"/>
    <w:basedOn w:val="5"/>
    <w:qFormat/>
    <w:uiPriority w:val="60"/>
    <w:pPr>
      <w:spacing w:after="0" w:line="240" w:lineRule="auto"/>
    </w:pPr>
    <w:rPr>
      <w:color w:val="31859C" w:themeColor="accent5" w:themeShade="BF"/>
    </w:rPr>
    <w:tblPr>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left w:val="nil"/>
          <w:right w:val="nil"/>
          <w:insideH w:val="nil"/>
          <w:insideV w:val="nil"/>
        </w:tcBorders>
        <w:shd w:val="clear" w:color="auto" w:fill="D2EAF0" w:themeFill="accent5" w:themeFillTint="3F"/>
      </w:tcPr>
    </w:tblStylePr>
  </w:style>
  <w:style w:type="table" w:styleId="16">
    <w:name w:val="Light Grid Accent 1"/>
    <w:basedOn w:val="5"/>
    <w:qFormat/>
    <w:uiPriority w:val="62"/>
    <w:pPr>
      <w:spacing w:after="0" w:line="240" w:lineRule="auto"/>
    </w:p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shd w:val="clear" w:color="auto" w:fill="D3DFEE" w:themeFill="accent1" w:themeFillTint="3F"/>
      </w:tcPr>
    </w:tblStylePr>
    <w:tblStylePr w:type="band2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tcPr>
    </w:tblStylePr>
  </w:style>
  <w:style w:type="character" w:customStyle="1" w:styleId="17">
    <w:name w:val="Balloon Text Char"/>
    <w:basedOn w:val="4"/>
    <w:link w:val="6"/>
    <w:semiHidden/>
    <w:uiPriority w:val="99"/>
    <w:rPr>
      <w:rFonts w:ascii="Tahoma" w:hAnsi="Tahoma" w:cs="Tahoma"/>
      <w:sz w:val="16"/>
      <w:szCs w:val="16"/>
    </w:rPr>
  </w:style>
  <w:style w:type="character" w:customStyle="1" w:styleId="18">
    <w:name w:val="Heading 1 Char"/>
    <w:basedOn w:val="4"/>
    <w:link w:val="2"/>
    <w:uiPriority w:val="9"/>
    <w:rPr>
      <w:rFonts w:asciiTheme="majorHAnsi" w:hAnsiTheme="majorHAnsi" w:eastAsiaTheme="majorEastAsia" w:cstheme="majorBidi"/>
      <w:b/>
      <w:bCs/>
      <w:color w:val="376092" w:themeColor="accent1" w:themeShade="BF"/>
      <w:sz w:val="28"/>
      <w:szCs w:val="28"/>
    </w:rPr>
  </w:style>
  <w:style w:type="paragraph" w:styleId="19">
    <w:name w:val="List Paragraph"/>
    <w:basedOn w:val="1"/>
    <w:qFormat/>
    <w:uiPriority w:val="34"/>
    <w:pPr>
      <w:ind w:left="720"/>
      <w:contextualSpacing/>
    </w:pPr>
  </w:style>
  <w:style w:type="character" w:customStyle="1" w:styleId="20">
    <w:name w:val="Header Char"/>
    <w:basedOn w:val="4"/>
    <w:link w:val="9"/>
    <w:uiPriority w:val="99"/>
  </w:style>
  <w:style w:type="character" w:customStyle="1" w:styleId="21">
    <w:name w:val="Footer Char"/>
    <w:basedOn w:val="4"/>
    <w:link w:val="8"/>
    <w:uiPriority w:val="99"/>
  </w:style>
  <w:style w:type="character" w:customStyle="1" w:styleId="22">
    <w:name w:val="Heading 2 Char"/>
    <w:basedOn w:val="4"/>
    <w:link w:val="3"/>
    <w:qFormat/>
    <w:uiPriority w:val="9"/>
    <w:rPr>
      <w:rFonts w:asciiTheme="majorHAnsi" w:hAnsiTheme="majorHAnsi" w:eastAsiaTheme="majorEastAsia" w:cstheme="majorBidi"/>
      <w:b/>
      <w:bCs/>
      <w:color w:val="4F81BD" w:themeColor="accent1"/>
      <w:sz w:val="26"/>
      <w:szCs w:val="26"/>
      <w14:textFill>
        <w14:solidFill>
          <w14:schemeClr w14:val="accent1"/>
        </w14:solidFill>
      </w14:textFill>
    </w:rPr>
  </w:style>
  <w:style w:type="paragraph" w:customStyle="1" w:styleId="23">
    <w:name w:val="TOC Heading"/>
    <w:basedOn w:val="2"/>
    <w:next w:val="1"/>
    <w:semiHidden/>
    <w:unhideWhenUsed/>
    <w:qFormat/>
    <w:uiPriority w:val="39"/>
    <w:pPr>
      <w:spacing w:line="276" w:lineRule="auto"/>
      <w:outlineLvl w:val="9"/>
    </w:pPr>
    <w:rPr>
      <w:lang w:eastAsia="ja-JP"/>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6.jpeg"/><Relationship Id="rId11" Type="http://schemas.openxmlformats.org/officeDocument/2006/relationships/image" Target="media/image5.emf"/><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89C587C-699B-4CFD-9B0A-CFE018B032E1}">
  <ds:schemaRefs/>
</ds:datastoreItem>
</file>

<file path=docProps/app.xml><?xml version="1.0" encoding="utf-8"?>
<Properties xmlns="http://schemas.openxmlformats.org/officeDocument/2006/extended-properties" xmlns:vt="http://schemas.openxmlformats.org/officeDocument/2006/docPropsVTypes">
  <Template>Normal</Template>
  <Pages>9</Pages>
  <Words>1902</Words>
  <Characters>10842</Characters>
  <Lines>90</Lines>
  <Paragraphs>25</Paragraphs>
  <TotalTime>2</TotalTime>
  <ScaleCrop>false</ScaleCrop>
  <LinksUpToDate>false</LinksUpToDate>
  <CharactersWithSpaces>12719</CharactersWithSpaces>
  <Application>WPS Office_12.2.0.17562_F1E327BC-269C-435d-A152-05C5408002CA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2024-07-02T08:37:00Z</dcterms:created>
  <dc:creator>Andrewlap</dc:creator>
  <cp:lastModifiedBy>Robert</cp:lastModifiedBy>
  <dcterms:modified xsi:type="dcterms:W3CDTF">2024-09-02T10:06:27Z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1033-12.2.0.17562</vt:lpwstr>
  </property>
  <property fmtid="{D5CDD505-2E9C-101B-9397-08002B2CF9AE}" pid="3" name="ICV">
    <vt:lpwstr>4620A00CC34444C2BE4CB1484284BBAD_12</vt:lpwstr>
  </property>
</Properties>
</file>